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191307" w14:paraId="48E3670C" w14:textId="77777777">
        <w:trPr>
          <w:tblCellSpacing w:w="60" w:type="dxa"/>
        </w:trPr>
        <w:tc>
          <w:tcPr>
            <w:tcW w:w="1200" w:type="pct"/>
            <w:shd w:val="clear" w:color="auto" w:fill="E7F0F9"/>
          </w:tcPr>
          <w:p w14:paraId="161CF608" w14:textId="77777777" w:rsidR="00191307" w:rsidRDefault="00000000">
            <w:pPr>
              <w:spacing w:after="0" w:line="240" w:lineRule="auto"/>
            </w:pPr>
            <w:r>
              <w:rPr>
                <w:b/>
              </w:rPr>
              <w:t>RKP broj</w:t>
            </w:r>
          </w:p>
        </w:tc>
        <w:tc>
          <w:tcPr>
            <w:tcW w:w="0" w:type="auto"/>
            <w:shd w:val="clear" w:color="auto" w:fill="E7F0F9"/>
          </w:tcPr>
          <w:p w14:paraId="70174C9F" w14:textId="77777777" w:rsidR="00191307" w:rsidRDefault="00000000">
            <w:pPr>
              <w:spacing w:after="0" w:line="240" w:lineRule="auto"/>
            </w:pPr>
            <w:r>
              <w:t>23938</w:t>
            </w:r>
          </w:p>
        </w:tc>
      </w:tr>
      <w:tr w:rsidR="00191307" w14:paraId="46331B4C" w14:textId="77777777">
        <w:trPr>
          <w:tblCellSpacing w:w="60" w:type="dxa"/>
        </w:trPr>
        <w:tc>
          <w:tcPr>
            <w:tcW w:w="1200" w:type="pct"/>
            <w:shd w:val="clear" w:color="auto" w:fill="E7F0F9"/>
          </w:tcPr>
          <w:p w14:paraId="56F517CA" w14:textId="77777777" w:rsidR="00191307" w:rsidRDefault="00000000">
            <w:pPr>
              <w:spacing w:after="0" w:line="240" w:lineRule="auto"/>
            </w:pPr>
            <w:r>
              <w:rPr>
                <w:b/>
              </w:rPr>
              <w:t>Naziv obveznika</w:t>
            </w:r>
          </w:p>
        </w:tc>
        <w:tc>
          <w:tcPr>
            <w:tcW w:w="0" w:type="auto"/>
            <w:shd w:val="clear" w:color="auto" w:fill="E7F0F9"/>
          </w:tcPr>
          <w:p w14:paraId="139E97D2" w14:textId="77777777" w:rsidR="00191307" w:rsidRDefault="00000000">
            <w:pPr>
              <w:spacing w:after="0" w:line="240" w:lineRule="auto"/>
            </w:pPr>
            <w:r>
              <w:t>CENTAR ZA ODGOJ, OBRAZOVANJE I REHABILITACIJU PODRAVSKO SUNCE</w:t>
            </w:r>
          </w:p>
        </w:tc>
      </w:tr>
      <w:tr w:rsidR="00191307" w14:paraId="5DAF54FC" w14:textId="77777777">
        <w:trPr>
          <w:tblCellSpacing w:w="60" w:type="dxa"/>
        </w:trPr>
        <w:tc>
          <w:tcPr>
            <w:tcW w:w="1200" w:type="pct"/>
            <w:shd w:val="clear" w:color="auto" w:fill="E7F0F9"/>
          </w:tcPr>
          <w:p w14:paraId="31AAFB71" w14:textId="77777777" w:rsidR="00191307" w:rsidRDefault="00000000">
            <w:pPr>
              <w:spacing w:after="0" w:line="240" w:lineRule="auto"/>
            </w:pPr>
            <w:r>
              <w:rPr>
                <w:b/>
              </w:rPr>
              <w:t>Razina</w:t>
            </w:r>
          </w:p>
        </w:tc>
        <w:tc>
          <w:tcPr>
            <w:tcW w:w="0" w:type="auto"/>
            <w:shd w:val="clear" w:color="auto" w:fill="E7F0F9"/>
          </w:tcPr>
          <w:p w14:paraId="077CE6CF" w14:textId="77777777" w:rsidR="00191307" w:rsidRDefault="00000000">
            <w:pPr>
              <w:spacing w:after="0" w:line="240" w:lineRule="auto"/>
            </w:pPr>
            <w:r>
              <w:t>31</w:t>
            </w:r>
          </w:p>
        </w:tc>
      </w:tr>
    </w:tbl>
    <w:p w14:paraId="2A5C33D2" w14:textId="77777777" w:rsidR="00191307" w:rsidRDefault="00000000">
      <w:r>
        <w:br/>
      </w:r>
    </w:p>
    <w:p w14:paraId="2E3CC4D3" w14:textId="77777777" w:rsidR="00191307" w:rsidRDefault="00000000">
      <w:pPr>
        <w:spacing w:line="240" w:lineRule="auto"/>
        <w:jc w:val="center"/>
      </w:pPr>
      <w:r>
        <w:rPr>
          <w:b/>
          <w:sz w:val="28"/>
        </w:rPr>
        <w:t>BILJEŠKE UZ FINANCIJSKE IZVJEŠTAJE</w:t>
      </w:r>
    </w:p>
    <w:p w14:paraId="6C579BB4" w14:textId="77777777" w:rsidR="00191307" w:rsidRDefault="00000000">
      <w:pPr>
        <w:spacing w:line="240" w:lineRule="auto"/>
        <w:jc w:val="center"/>
      </w:pPr>
      <w:r>
        <w:rPr>
          <w:b/>
          <w:sz w:val="28"/>
        </w:rPr>
        <w:t>ZA RAZDOBLJE</w:t>
      </w:r>
    </w:p>
    <w:p w14:paraId="77FD4C69" w14:textId="77777777" w:rsidR="00191307" w:rsidRDefault="00000000">
      <w:pPr>
        <w:spacing w:line="240" w:lineRule="auto"/>
        <w:jc w:val="center"/>
      </w:pPr>
      <w:r>
        <w:rPr>
          <w:b/>
          <w:sz w:val="28"/>
        </w:rPr>
        <w:t>I - III 2026.</w:t>
      </w:r>
    </w:p>
    <w:p w14:paraId="4B695A72" w14:textId="77777777" w:rsidR="00191307" w:rsidRDefault="00191307"/>
    <w:p w14:paraId="23BF9C76" w14:textId="77777777" w:rsidR="00191307" w:rsidRDefault="00000000">
      <w:pPr>
        <w:keepNext/>
        <w:spacing w:line="240" w:lineRule="auto"/>
        <w:jc w:val="center"/>
      </w:pPr>
      <w:r>
        <w:rPr>
          <w:b/>
          <w:sz w:val="28"/>
        </w:rPr>
        <w:t>Izvještaj o prihodima i rashodima, primicima i izdacima</w:t>
      </w:r>
    </w:p>
    <w:p w14:paraId="08E21491" w14:textId="77777777" w:rsidR="00191307"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91307" w14:paraId="70FD933D" w14:textId="77777777">
        <w:trPr>
          <w:cantSplit/>
        </w:trPr>
        <w:tc>
          <w:tcPr>
            <w:tcW w:w="700" w:type="dxa"/>
            <w:shd w:val="clear" w:color="auto" w:fill="E7F0F9"/>
            <w:tcMar>
              <w:top w:w="0" w:type="dxa"/>
              <w:bottom w:w="0" w:type="dxa"/>
            </w:tcMar>
            <w:vAlign w:val="center"/>
          </w:tcPr>
          <w:p w14:paraId="643BACE8" w14:textId="77777777" w:rsidR="0019130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651CE4" w14:textId="77777777" w:rsidR="001913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124427" w14:textId="77777777" w:rsidR="001913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CD402B" w14:textId="77777777" w:rsidR="0019130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A238DB6" w14:textId="77777777" w:rsidR="0019130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003BA9" w14:textId="77777777" w:rsidR="00191307" w:rsidRDefault="00000000">
            <w:pPr>
              <w:keepNext/>
              <w:keepLines/>
              <w:spacing w:after="0" w:line="240" w:lineRule="auto"/>
              <w:jc w:val="center"/>
            </w:pPr>
            <w:r>
              <w:rPr>
                <w:b/>
                <w:sz w:val="18"/>
              </w:rPr>
              <w:t>Indeks (%)</w:t>
            </w:r>
          </w:p>
        </w:tc>
      </w:tr>
      <w:tr w:rsidR="00191307" w14:paraId="7D67F95D" w14:textId="77777777">
        <w:trPr>
          <w:cantSplit/>
          <w:trHeight w:val="560"/>
        </w:trPr>
        <w:tc>
          <w:tcPr>
            <w:tcW w:w="700" w:type="dxa"/>
            <w:tcMar>
              <w:top w:w="0" w:type="dxa"/>
              <w:bottom w:w="0" w:type="dxa"/>
            </w:tcMar>
            <w:vAlign w:val="center"/>
          </w:tcPr>
          <w:p w14:paraId="4B068AFD" w14:textId="77777777" w:rsidR="00191307" w:rsidRDefault="00000000">
            <w:pPr>
              <w:keepNext/>
              <w:keepLines/>
              <w:spacing w:after="0" w:line="240" w:lineRule="auto"/>
            </w:pPr>
            <w:r>
              <w:rPr>
                <w:sz w:val="18"/>
              </w:rPr>
              <w:t>6</w:t>
            </w:r>
          </w:p>
        </w:tc>
        <w:tc>
          <w:tcPr>
            <w:tcW w:w="3180" w:type="dxa"/>
            <w:tcMar>
              <w:top w:w="0" w:type="dxa"/>
              <w:bottom w:w="0" w:type="dxa"/>
            </w:tcMar>
            <w:vAlign w:val="center"/>
          </w:tcPr>
          <w:p w14:paraId="550EE141" w14:textId="77777777" w:rsidR="00191307"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36E4502F" w14:textId="77777777" w:rsidR="00191307" w:rsidRDefault="00000000">
            <w:pPr>
              <w:keepNext/>
              <w:keepLines/>
              <w:spacing w:after="0" w:line="240" w:lineRule="auto"/>
            </w:pPr>
            <w:r>
              <w:rPr>
                <w:sz w:val="18"/>
              </w:rPr>
              <w:t>6</w:t>
            </w:r>
          </w:p>
        </w:tc>
        <w:tc>
          <w:tcPr>
            <w:tcW w:w="1860" w:type="dxa"/>
            <w:tcMar>
              <w:top w:w="0" w:type="dxa"/>
              <w:bottom w:w="0" w:type="dxa"/>
            </w:tcMar>
            <w:vAlign w:val="center"/>
          </w:tcPr>
          <w:p w14:paraId="6FE4DF2E" w14:textId="77777777" w:rsidR="00191307" w:rsidRDefault="00000000">
            <w:pPr>
              <w:keepNext/>
              <w:keepLines/>
              <w:spacing w:after="0" w:line="240" w:lineRule="auto"/>
              <w:jc w:val="right"/>
            </w:pPr>
            <w:r>
              <w:rPr>
                <w:sz w:val="18"/>
              </w:rPr>
              <w:t>527.637,80</w:t>
            </w:r>
          </w:p>
        </w:tc>
        <w:tc>
          <w:tcPr>
            <w:tcW w:w="1860" w:type="dxa"/>
            <w:tcMar>
              <w:top w:w="0" w:type="dxa"/>
              <w:bottom w:w="0" w:type="dxa"/>
            </w:tcMar>
            <w:vAlign w:val="center"/>
          </w:tcPr>
          <w:p w14:paraId="3A52EC2F" w14:textId="77777777" w:rsidR="00191307" w:rsidRDefault="00000000">
            <w:pPr>
              <w:keepNext/>
              <w:keepLines/>
              <w:spacing w:after="0" w:line="240" w:lineRule="auto"/>
              <w:jc w:val="right"/>
            </w:pPr>
            <w:r>
              <w:rPr>
                <w:sz w:val="18"/>
              </w:rPr>
              <w:t>575.966,37</w:t>
            </w:r>
          </w:p>
        </w:tc>
        <w:tc>
          <w:tcPr>
            <w:tcW w:w="700" w:type="dxa"/>
            <w:tcMar>
              <w:top w:w="0" w:type="dxa"/>
              <w:bottom w:w="0" w:type="dxa"/>
            </w:tcMar>
            <w:vAlign w:val="center"/>
          </w:tcPr>
          <w:p w14:paraId="1A3BA650" w14:textId="77777777" w:rsidR="00191307" w:rsidRDefault="00000000">
            <w:pPr>
              <w:keepNext/>
              <w:keepLines/>
              <w:spacing w:after="0" w:line="240" w:lineRule="auto"/>
              <w:jc w:val="right"/>
            </w:pPr>
            <w:r>
              <w:rPr>
                <w:sz w:val="18"/>
              </w:rPr>
              <w:t>109,2</w:t>
            </w:r>
          </w:p>
        </w:tc>
      </w:tr>
      <w:tr w:rsidR="00191307" w14:paraId="27314BF1" w14:textId="77777777">
        <w:trPr>
          <w:cantSplit/>
          <w:trHeight w:val="560"/>
        </w:trPr>
        <w:tc>
          <w:tcPr>
            <w:tcW w:w="700" w:type="dxa"/>
            <w:tcMar>
              <w:top w:w="0" w:type="dxa"/>
              <w:bottom w:w="0" w:type="dxa"/>
            </w:tcMar>
            <w:vAlign w:val="center"/>
          </w:tcPr>
          <w:p w14:paraId="18D66EBB" w14:textId="77777777" w:rsidR="00191307" w:rsidRDefault="00000000">
            <w:pPr>
              <w:keepNext/>
              <w:keepLines/>
              <w:spacing w:after="0" w:line="240" w:lineRule="auto"/>
            </w:pPr>
            <w:r>
              <w:rPr>
                <w:sz w:val="18"/>
              </w:rPr>
              <w:t>3</w:t>
            </w:r>
          </w:p>
        </w:tc>
        <w:tc>
          <w:tcPr>
            <w:tcW w:w="3180" w:type="dxa"/>
            <w:tcMar>
              <w:top w:w="0" w:type="dxa"/>
              <w:bottom w:w="0" w:type="dxa"/>
            </w:tcMar>
            <w:vAlign w:val="center"/>
          </w:tcPr>
          <w:p w14:paraId="7562BED7" w14:textId="77777777" w:rsidR="00191307"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6840462C" w14:textId="77777777" w:rsidR="00191307" w:rsidRDefault="00000000">
            <w:pPr>
              <w:keepNext/>
              <w:keepLines/>
              <w:spacing w:after="0" w:line="240" w:lineRule="auto"/>
            </w:pPr>
            <w:r>
              <w:rPr>
                <w:sz w:val="18"/>
              </w:rPr>
              <w:t>3</w:t>
            </w:r>
          </w:p>
        </w:tc>
        <w:tc>
          <w:tcPr>
            <w:tcW w:w="1860" w:type="dxa"/>
            <w:tcMar>
              <w:top w:w="0" w:type="dxa"/>
              <w:bottom w:w="0" w:type="dxa"/>
            </w:tcMar>
            <w:vAlign w:val="center"/>
          </w:tcPr>
          <w:p w14:paraId="04D100CC" w14:textId="77777777" w:rsidR="00191307" w:rsidRDefault="00000000">
            <w:pPr>
              <w:keepNext/>
              <w:keepLines/>
              <w:spacing w:after="0" w:line="240" w:lineRule="auto"/>
              <w:jc w:val="right"/>
            </w:pPr>
            <w:r>
              <w:rPr>
                <w:sz w:val="18"/>
              </w:rPr>
              <w:t>629.513,26</w:t>
            </w:r>
          </w:p>
        </w:tc>
        <w:tc>
          <w:tcPr>
            <w:tcW w:w="1860" w:type="dxa"/>
            <w:tcMar>
              <w:top w:w="0" w:type="dxa"/>
              <w:bottom w:w="0" w:type="dxa"/>
            </w:tcMar>
            <w:vAlign w:val="center"/>
          </w:tcPr>
          <w:p w14:paraId="61183A6B" w14:textId="77777777" w:rsidR="00191307" w:rsidRDefault="00000000">
            <w:pPr>
              <w:keepNext/>
              <w:keepLines/>
              <w:spacing w:after="0" w:line="240" w:lineRule="auto"/>
              <w:jc w:val="right"/>
            </w:pPr>
            <w:r>
              <w:rPr>
                <w:sz w:val="18"/>
              </w:rPr>
              <w:t>607.567,32</w:t>
            </w:r>
          </w:p>
        </w:tc>
        <w:tc>
          <w:tcPr>
            <w:tcW w:w="700" w:type="dxa"/>
            <w:tcMar>
              <w:top w:w="0" w:type="dxa"/>
              <w:bottom w:w="0" w:type="dxa"/>
            </w:tcMar>
            <w:vAlign w:val="center"/>
          </w:tcPr>
          <w:p w14:paraId="7986106E" w14:textId="77777777" w:rsidR="00191307" w:rsidRDefault="00000000">
            <w:pPr>
              <w:keepNext/>
              <w:keepLines/>
              <w:spacing w:after="0" w:line="240" w:lineRule="auto"/>
              <w:jc w:val="right"/>
            </w:pPr>
            <w:r>
              <w:rPr>
                <w:sz w:val="18"/>
              </w:rPr>
              <w:t>96,5</w:t>
            </w:r>
          </w:p>
        </w:tc>
      </w:tr>
      <w:tr w:rsidR="00191307" w14:paraId="35503C07" w14:textId="77777777">
        <w:trPr>
          <w:cantSplit/>
          <w:trHeight w:val="560"/>
        </w:trPr>
        <w:tc>
          <w:tcPr>
            <w:tcW w:w="700" w:type="dxa"/>
            <w:tcMar>
              <w:top w:w="0" w:type="dxa"/>
              <w:bottom w:w="0" w:type="dxa"/>
            </w:tcMar>
            <w:vAlign w:val="center"/>
          </w:tcPr>
          <w:p w14:paraId="293B1952" w14:textId="77777777" w:rsidR="00191307" w:rsidRDefault="00191307">
            <w:pPr>
              <w:keepNext/>
              <w:keepLines/>
              <w:spacing w:after="0" w:line="240" w:lineRule="auto"/>
            </w:pPr>
          </w:p>
        </w:tc>
        <w:tc>
          <w:tcPr>
            <w:tcW w:w="3180" w:type="dxa"/>
            <w:tcMar>
              <w:top w:w="0" w:type="dxa"/>
              <w:bottom w:w="0" w:type="dxa"/>
            </w:tcMar>
            <w:vAlign w:val="center"/>
          </w:tcPr>
          <w:p w14:paraId="5B471E2D" w14:textId="77777777" w:rsidR="00191307"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525D97D0" w14:textId="77777777" w:rsidR="00191307" w:rsidRDefault="00000000">
            <w:pPr>
              <w:keepNext/>
              <w:keepLines/>
              <w:spacing w:after="0" w:line="240" w:lineRule="auto"/>
            </w:pPr>
            <w:r>
              <w:rPr>
                <w:b/>
                <w:sz w:val="18"/>
              </w:rPr>
              <w:t>Y001</w:t>
            </w:r>
          </w:p>
        </w:tc>
        <w:tc>
          <w:tcPr>
            <w:tcW w:w="1860" w:type="dxa"/>
            <w:tcMar>
              <w:top w:w="0" w:type="dxa"/>
              <w:bottom w:w="0" w:type="dxa"/>
            </w:tcMar>
            <w:vAlign w:val="center"/>
          </w:tcPr>
          <w:p w14:paraId="6B95DCE1" w14:textId="77777777" w:rsidR="00191307" w:rsidRDefault="00000000">
            <w:pPr>
              <w:keepNext/>
              <w:keepLines/>
              <w:spacing w:after="0" w:line="240" w:lineRule="auto"/>
              <w:jc w:val="right"/>
            </w:pPr>
            <w:r>
              <w:rPr>
                <w:b/>
                <w:sz w:val="18"/>
              </w:rPr>
              <w:t>101.875,46</w:t>
            </w:r>
          </w:p>
        </w:tc>
        <w:tc>
          <w:tcPr>
            <w:tcW w:w="1860" w:type="dxa"/>
            <w:tcMar>
              <w:top w:w="0" w:type="dxa"/>
              <w:bottom w:w="0" w:type="dxa"/>
            </w:tcMar>
            <w:vAlign w:val="center"/>
          </w:tcPr>
          <w:p w14:paraId="6F47872A" w14:textId="77777777" w:rsidR="00191307" w:rsidRDefault="00000000">
            <w:pPr>
              <w:keepNext/>
              <w:keepLines/>
              <w:spacing w:after="0" w:line="240" w:lineRule="auto"/>
              <w:jc w:val="right"/>
            </w:pPr>
            <w:r>
              <w:rPr>
                <w:b/>
                <w:sz w:val="18"/>
              </w:rPr>
              <w:t>31.600,95</w:t>
            </w:r>
          </w:p>
        </w:tc>
        <w:tc>
          <w:tcPr>
            <w:tcW w:w="700" w:type="dxa"/>
            <w:tcMar>
              <w:top w:w="0" w:type="dxa"/>
              <w:bottom w:w="0" w:type="dxa"/>
            </w:tcMar>
            <w:vAlign w:val="center"/>
          </w:tcPr>
          <w:p w14:paraId="261957F6" w14:textId="77777777" w:rsidR="00191307" w:rsidRDefault="00000000">
            <w:pPr>
              <w:keepNext/>
              <w:keepLines/>
              <w:spacing w:after="0" w:line="240" w:lineRule="auto"/>
              <w:jc w:val="right"/>
            </w:pPr>
            <w:r>
              <w:rPr>
                <w:b/>
                <w:sz w:val="18"/>
              </w:rPr>
              <w:t>31,0</w:t>
            </w:r>
          </w:p>
        </w:tc>
      </w:tr>
      <w:tr w:rsidR="00191307" w14:paraId="50455584" w14:textId="77777777">
        <w:trPr>
          <w:cantSplit/>
          <w:trHeight w:val="560"/>
        </w:trPr>
        <w:tc>
          <w:tcPr>
            <w:tcW w:w="700" w:type="dxa"/>
            <w:tcMar>
              <w:top w:w="0" w:type="dxa"/>
              <w:bottom w:w="0" w:type="dxa"/>
            </w:tcMar>
            <w:vAlign w:val="center"/>
          </w:tcPr>
          <w:p w14:paraId="621BB334" w14:textId="77777777" w:rsidR="00191307" w:rsidRDefault="00000000">
            <w:pPr>
              <w:keepNext/>
              <w:keepLines/>
              <w:spacing w:after="0" w:line="240" w:lineRule="auto"/>
            </w:pPr>
            <w:r>
              <w:rPr>
                <w:sz w:val="18"/>
              </w:rPr>
              <w:t>7</w:t>
            </w:r>
          </w:p>
        </w:tc>
        <w:tc>
          <w:tcPr>
            <w:tcW w:w="3180" w:type="dxa"/>
            <w:tcMar>
              <w:top w:w="0" w:type="dxa"/>
              <w:bottom w:w="0" w:type="dxa"/>
            </w:tcMar>
            <w:vAlign w:val="center"/>
          </w:tcPr>
          <w:p w14:paraId="5BB6C9D9" w14:textId="77777777" w:rsidR="00191307"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0E6A829F" w14:textId="77777777" w:rsidR="00191307" w:rsidRDefault="00000000">
            <w:pPr>
              <w:keepNext/>
              <w:keepLines/>
              <w:spacing w:after="0" w:line="240" w:lineRule="auto"/>
            </w:pPr>
            <w:r>
              <w:rPr>
                <w:sz w:val="18"/>
              </w:rPr>
              <w:t>7</w:t>
            </w:r>
          </w:p>
        </w:tc>
        <w:tc>
          <w:tcPr>
            <w:tcW w:w="1860" w:type="dxa"/>
            <w:tcMar>
              <w:top w:w="0" w:type="dxa"/>
              <w:bottom w:w="0" w:type="dxa"/>
            </w:tcMar>
            <w:vAlign w:val="center"/>
          </w:tcPr>
          <w:p w14:paraId="2721B9BF" w14:textId="77777777" w:rsidR="00191307" w:rsidRDefault="00000000">
            <w:pPr>
              <w:keepNext/>
              <w:keepLines/>
              <w:spacing w:after="0" w:line="240" w:lineRule="auto"/>
              <w:jc w:val="right"/>
            </w:pPr>
            <w:r>
              <w:rPr>
                <w:sz w:val="18"/>
              </w:rPr>
              <w:t>0,00</w:t>
            </w:r>
          </w:p>
        </w:tc>
        <w:tc>
          <w:tcPr>
            <w:tcW w:w="1860" w:type="dxa"/>
            <w:tcMar>
              <w:top w:w="0" w:type="dxa"/>
              <w:bottom w:w="0" w:type="dxa"/>
            </w:tcMar>
            <w:vAlign w:val="center"/>
          </w:tcPr>
          <w:p w14:paraId="53DF9FC4" w14:textId="77777777" w:rsidR="00191307" w:rsidRDefault="00000000">
            <w:pPr>
              <w:keepNext/>
              <w:keepLines/>
              <w:spacing w:after="0" w:line="240" w:lineRule="auto"/>
              <w:jc w:val="right"/>
            </w:pPr>
            <w:r>
              <w:rPr>
                <w:sz w:val="18"/>
              </w:rPr>
              <w:t>0,00</w:t>
            </w:r>
          </w:p>
        </w:tc>
        <w:tc>
          <w:tcPr>
            <w:tcW w:w="700" w:type="dxa"/>
            <w:tcMar>
              <w:top w:w="0" w:type="dxa"/>
              <w:bottom w:w="0" w:type="dxa"/>
            </w:tcMar>
            <w:vAlign w:val="center"/>
          </w:tcPr>
          <w:p w14:paraId="4500F1B4" w14:textId="77777777" w:rsidR="00191307" w:rsidRDefault="00000000">
            <w:pPr>
              <w:keepNext/>
              <w:keepLines/>
              <w:spacing w:after="0" w:line="240" w:lineRule="auto"/>
              <w:jc w:val="right"/>
            </w:pPr>
            <w:r>
              <w:rPr>
                <w:sz w:val="18"/>
              </w:rPr>
              <w:t>-</w:t>
            </w:r>
          </w:p>
        </w:tc>
      </w:tr>
      <w:tr w:rsidR="00191307" w14:paraId="7E5DFF71" w14:textId="77777777">
        <w:trPr>
          <w:cantSplit/>
          <w:trHeight w:val="560"/>
        </w:trPr>
        <w:tc>
          <w:tcPr>
            <w:tcW w:w="700" w:type="dxa"/>
            <w:tcMar>
              <w:top w:w="0" w:type="dxa"/>
              <w:bottom w:w="0" w:type="dxa"/>
            </w:tcMar>
            <w:vAlign w:val="center"/>
          </w:tcPr>
          <w:p w14:paraId="0EEE7B9A" w14:textId="77777777" w:rsidR="00191307" w:rsidRDefault="00000000">
            <w:pPr>
              <w:keepNext/>
              <w:keepLines/>
              <w:spacing w:after="0" w:line="240" w:lineRule="auto"/>
            </w:pPr>
            <w:r>
              <w:rPr>
                <w:sz w:val="18"/>
              </w:rPr>
              <w:t>4</w:t>
            </w:r>
          </w:p>
        </w:tc>
        <w:tc>
          <w:tcPr>
            <w:tcW w:w="3180" w:type="dxa"/>
            <w:tcMar>
              <w:top w:w="0" w:type="dxa"/>
              <w:bottom w:w="0" w:type="dxa"/>
            </w:tcMar>
            <w:vAlign w:val="center"/>
          </w:tcPr>
          <w:p w14:paraId="6E0883D5" w14:textId="77777777" w:rsidR="00191307"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57B667C1" w14:textId="77777777" w:rsidR="00191307" w:rsidRDefault="00000000">
            <w:pPr>
              <w:keepNext/>
              <w:keepLines/>
              <w:spacing w:after="0" w:line="240" w:lineRule="auto"/>
            </w:pPr>
            <w:r>
              <w:rPr>
                <w:sz w:val="18"/>
              </w:rPr>
              <w:t>4</w:t>
            </w:r>
          </w:p>
        </w:tc>
        <w:tc>
          <w:tcPr>
            <w:tcW w:w="1860" w:type="dxa"/>
            <w:tcMar>
              <w:top w:w="0" w:type="dxa"/>
              <w:bottom w:w="0" w:type="dxa"/>
            </w:tcMar>
            <w:vAlign w:val="center"/>
          </w:tcPr>
          <w:p w14:paraId="0BB74E2E" w14:textId="77777777" w:rsidR="00191307" w:rsidRDefault="00000000">
            <w:pPr>
              <w:keepNext/>
              <w:keepLines/>
              <w:spacing w:after="0" w:line="240" w:lineRule="auto"/>
              <w:jc w:val="right"/>
            </w:pPr>
            <w:r>
              <w:rPr>
                <w:sz w:val="18"/>
              </w:rPr>
              <w:t>0,00</w:t>
            </w:r>
          </w:p>
        </w:tc>
        <w:tc>
          <w:tcPr>
            <w:tcW w:w="1860" w:type="dxa"/>
            <w:tcMar>
              <w:top w:w="0" w:type="dxa"/>
              <w:bottom w:w="0" w:type="dxa"/>
            </w:tcMar>
            <w:vAlign w:val="center"/>
          </w:tcPr>
          <w:p w14:paraId="123EDFE1" w14:textId="77777777" w:rsidR="00191307" w:rsidRDefault="00000000">
            <w:pPr>
              <w:keepNext/>
              <w:keepLines/>
              <w:spacing w:after="0" w:line="240" w:lineRule="auto"/>
              <w:jc w:val="right"/>
            </w:pPr>
            <w:r>
              <w:rPr>
                <w:sz w:val="18"/>
              </w:rPr>
              <w:t>8.830,07</w:t>
            </w:r>
          </w:p>
        </w:tc>
        <w:tc>
          <w:tcPr>
            <w:tcW w:w="700" w:type="dxa"/>
            <w:tcMar>
              <w:top w:w="0" w:type="dxa"/>
              <w:bottom w:w="0" w:type="dxa"/>
            </w:tcMar>
            <w:vAlign w:val="center"/>
          </w:tcPr>
          <w:p w14:paraId="111F71D0" w14:textId="77777777" w:rsidR="00191307" w:rsidRDefault="00000000">
            <w:pPr>
              <w:keepNext/>
              <w:keepLines/>
              <w:spacing w:after="0" w:line="240" w:lineRule="auto"/>
              <w:jc w:val="right"/>
            </w:pPr>
            <w:r>
              <w:rPr>
                <w:sz w:val="18"/>
              </w:rPr>
              <w:t>-</w:t>
            </w:r>
          </w:p>
        </w:tc>
      </w:tr>
      <w:tr w:rsidR="00191307" w14:paraId="125EADBD" w14:textId="77777777">
        <w:trPr>
          <w:cantSplit/>
          <w:trHeight w:val="560"/>
        </w:trPr>
        <w:tc>
          <w:tcPr>
            <w:tcW w:w="700" w:type="dxa"/>
            <w:tcMar>
              <w:top w:w="0" w:type="dxa"/>
              <w:bottom w:w="0" w:type="dxa"/>
            </w:tcMar>
            <w:vAlign w:val="center"/>
          </w:tcPr>
          <w:p w14:paraId="771D8BCE" w14:textId="77777777" w:rsidR="00191307" w:rsidRDefault="00191307">
            <w:pPr>
              <w:keepNext/>
              <w:keepLines/>
              <w:spacing w:after="0" w:line="240" w:lineRule="auto"/>
            </w:pPr>
          </w:p>
        </w:tc>
        <w:tc>
          <w:tcPr>
            <w:tcW w:w="3180" w:type="dxa"/>
            <w:tcMar>
              <w:top w:w="0" w:type="dxa"/>
              <w:bottom w:w="0" w:type="dxa"/>
            </w:tcMar>
            <w:vAlign w:val="center"/>
          </w:tcPr>
          <w:p w14:paraId="4389647B" w14:textId="77777777" w:rsidR="00191307"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08E0AC43" w14:textId="77777777" w:rsidR="00191307" w:rsidRDefault="00000000">
            <w:pPr>
              <w:keepNext/>
              <w:keepLines/>
              <w:spacing w:after="0" w:line="240" w:lineRule="auto"/>
            </w:pPr>
            <w:r>
              <w:rPr>
                <w:b/>
                <w:sz w:val="18"/>
              </w:rPr>
              <w:t>Y002</w:t>
            </w:r>
          </w:p>
        </w:tc>
        <w:tc>
          <w:tcPr>
            <w:tcW w:w="1860" w:type="dxa"/>
            <w:tcMar>
              <w:top w:w="0" w:type="dxa"/>
              <w:bottom w:w="0" w:type="dxa"/>
            </w:tcMar>
            <w:vAlign w:val="center"/>
          </w:tcPr>
          <w:p w14:paraId="2E3D3732" w14:textId="77777777" w:rsidR="00191307" w:rsidRDefault="00000000">
            <w:pPr>
              <w:keepNext/>
              <w:keepLines/>
              <w:spacing w:after="0" w:line="240" w:lineRule="auto"/>
              <w:jc w:val="right"/>
            </w:pPr>
            <w:r>
              <w:rPr>
                <w:b/>
                <w:sz w:val="18"/>
              </w:rPr>
              <w:t>0,00</w:t>
            </w:r>
          </w:p>
        </w:tc>
        <w:tc>
          <w:tcPr>
            <w:tcW w:w="1860" w:type="dxa"/>
            <w:tcMar>
              <w:top w:w="0" w:type="dxa"/>
              <w:bottom w:w="0" w:type="dxa"/>
            </w:tcMar>
            <w:vAlign w:val="center"/>
          </w:tcPr>
          <w:p w14:paraId="7D7B3D1F" w14:textId="77777777" w:rsidR="00191307" w:rsidRDefault="00000000">
            <w:pPr>
              <w:keepNext/>
              <w:keepLines/>
              <w:spacing w:after="0" w:line="240" w:lineRule="auto"/>
              <w:jc w:val="right"/>
            </w:pPr>
            <w:r>
              <w:rPr>
                <w:b/>
                <w:sz w:val="18"/>
              </w:rPr>
              <w:t>8.830,07</w:t>
            </w:r>
          </w:p>
        </w:tc>
        <w:tc>
          <w:tcPr>
            <w:tcW w:w="700" w:type="dxa"/>
            <w:tcMar>
              <w:top w:w="0" w:type="dxa"/>
              <w:bottom w:w="0" w:type="dxa"/>
            </w:tcMar>
            <w:vAlign w:val="center"/>
          </w:tcPr>
          <w:p w14:paraId="7BE4C4CC" w14:textId="77777777" w:rsidR="00191307" w:rsidRDefault="00000000">
            <w:pPr>
              <w:keepNext/>
              <w:keepLines/>
              <w:spacing w:after="0" w:line="240" w:lineRule="auto"/>
              <w:jc w:val="right"/>
            </w:pPr>
            <w:r>
              <w:rPr>
                <w:b/>
                <w:sz w:val="18"/>
              </w:rPr>
              <w:t>-</w:t>
            </w:r>
          </w:p>
        </w:tc>
      </w:tr>
      <w:tr w:rsidR="00191307" w14:paraId="6534A38C" w14:textId="77777777">
        <w:trPr>
          <w:cantSplit/>
          <w:trHeight w:val="560"/>
        </w:trPr>
        <w:tc>
          <w:tcPr>
            <w:tcW w:w="700" w:type="dxa"/>
            <w:tcMar>
              <w:top w:w="0" w:type="dxa"/>
              <w:bottom w:w="0" w:type="dxa"/>
            </w:tcMar>
            <w:vAlign w:val="center"/>
          </w:tcPr>
          <w:p w14:paraId="553BE73A" w14:textId="77777777" w:rsidR="00191307" w:rsidRDefault="00000000">
            <w:pPr>
              <w:keepNext/>
              <w:keepLines/>
              <w:spacing w:after="0" w:line="240" w:lineRule="auto"/>
            </w:pPr>
            <w:r>
              <w:rPr>
                <w:sz w:val="18"/>
              </w:rPr>
              <w:t>8</w:t>
            </w:r>
          </w:p>
        </w:tc>
        <w:tc>
          <w:tcPr>
            <w:tcW w:w="3180" w:type="dxa"/>
            <w:tcMar>
              <w:top w:w="0" w:type="dxa"/>
              <w:bottom w:w="0" w:type="dxa"/>
            </w:tcMar>
            <w:vAlign w:val="center"/>
          </w:tcPr>
          <w:p w14:paraId="7622856B" w14:textId="77777777" w:rsidR="00191307"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2565428C" w14:textId="77777777" w:rsidR="00191307" w:rsidRDefault="00000000">
            <w:pPr>
              <w:keepNext/>
              <w:keepLines/>
              <w:spacing w:after="0" w:line="240" w:lineRule="auto"/>
            </w:pPr>
            <w:r>
              <w:rPr>
                <w:sz w:val="18"/>
              </w:rPr>
              <w:t>8</w:t>
            </w:r>
          </w:p>
        </w:tc>
        <w:tc>
          <w:tcPr>
            <w:tcW w:w="1860" w:type="dxa"/>
            <w:tcMar>
              <w:top w:w="0" w:type="dxa"/>
              <w:bottom w:w="0" w:type="dxa"/>
            </w:tcMar>
            <w:vAlign w:val="center"/>
          </w:tcPr>
          <w:p w14:paraId="38B6C542" w14:textId="77777777" w:rsidR="00191307" w:rsidRDefault="00000000">
            <w:pPr>
              <w:keepNext/>
              <w:keepLines/>
              <w:spacing w:after="0" w:line="240" w:lineRule="auto"/>
              <w:jc w:val="right"/>
            </w:pPr>
            <w:r>
              <w:rPr>
                <w:sz w:val="18"/>
              </w:rPr>
              <w:t>0,00</w:t>
            </w:r>
          </w:p>
        </w:tc>
        <w:tc>
          <w:tcPr>
            <w:tcW w:w="1860" w:type="dxa"/>
            <w:tcMar>
              <w:top w:w="0" w:type="dxa"/>
              <w:bottom w:w="0" w:type="dxa"/>
            </w:tcMar>
            <w:vAlign w:val="center"/>
          </w:tcPr>
          <w:p w14:paraId="56BA4AFE" w14:textId="77777777" w:rsidR="00191307" w:rsidRDefault="00000000">
            <w:pPr>
              <w:keepNext/>
              <w:keepLines/>
              <w:spacing w:after="0" w:line="240" w:lineRule="auto"/>
              <w:jc w:val="right"/>
            </w:pPr>
            <w:r>
              <w:rPr>
                <w:sz w:val="18"/>
              </w:rPr>
              <w:t>0,00</w:t>
            </w:r>
          </w:p>
        </w:tc>
        <w:tc>
          <w:tcPr>
            <w:tcW w:w="700" w:type="dxa"/>
            <w:tcMar>
              <w:top w:w="0" w:type="dxa"/>
              <w:bottom w:w="0" w:type="dxa"/>
            </w:tcMar>
            <w:vAlign w:val="center"/>
          </w:tcPr>
          <w:p w14:paraId="43DBE031" w14:textId="77777777" w:rsidR="00191307" w:rsidRDefault="00000000">
            <w:pPr>
              <w:keepNext/>
              <w:keepLines/>
              <w:spacing w:after="0" w:line="240" w:lineRule="auto"/>
              <w:jc w:val="right"/>
            </w:pPr>
            <w:r>
              <w:rPr>
                <w:sz w:val="18"/>
              </w:rPr>
              <w:t>-</w:t>
            </w:r>
          </w:p>
        </w:tc>
      </w:tr>
      <w:tr w:rsidR="00191307" w14:paraId="0D263C6E" w14:textId="77777777">
        <w:trPr>
          <w:cantSplit/>
          <w:trHeight w:val="560"/>
        </w:trPr>
        <w:tc>
          <w:tcPr>
            <w:tcW w:w="700" w:type="dxa"/>
            <w:tcMar>
              <w:top w:w="0" w:type="dxa"/>
              <w:bottom w:w="0" w:type="dxa"/>
            </w:tcMar>
            <w:vAlign w:val="center"/>
          </w:tcPr>
          <w:p w14:paraId="2F731358" w14:textId="77777777" w:rsidR="00191307" w:rsidRDefault="00000000">
            <w:pPr>
              <w:keepNext/>
              <w:keepLines/>
              <w:spacing w:after="0" w:line="240" w:lineRule="auto"/>
            </w:pPr>
            <w:r>
              <w:rPr>
                <w:sz w:val="18"/>
              </w:rPr>
              <w:t>5</w:t>
            </w:r>
          </w:p>
        </w:tc>
        <w:tc>
          <w:tcPr>
            <w:tcW w:w="3180" w:type="dxa"/>
            <w:tcMar>
              <w:top w:w="0" w:type="dxa"/>
              <w:bottom w:w="0" w:type="dxa"/>
            </w:tcMar>
            <w:vAlign w:val="center"/>
          </w:tcPr>
          <w:p w14:paraId="6CB9D681" w14:textId="77777777" w:rsidR="00191307"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30671444" w14:textId="77777777" w:rsidR="00191307" w:rsidRDefault="00000000">
            <w:pPr>
              <w:keepNext/>
              <w:keepLines/>
              <w:spacing w:after="0" w:line="240" w:lineRule="auto"/>
            </w:pPr>
            <w:r>
              <w:rPr>
                <w:sz w:val="18"/>
              </w:rPr>
              <w:t>5</w:t>
            </w:r>
          </w:p>
        </w:tc>
        <w:tc>
          <w:tcPr>
            <w:tcW w:w="1860" w:type="dxa"/>
            <w:tcMar>
              <w:top w:w="0" w:type="dxa"/>
              <w:bottom w:w="0" w:type="dxa"/>
            </w:tcMar>
            <w:vAlign w:val="center"/>
          </w:tcPr>
          <w:p w14:paraId="7D8142DA" w14:textId="77777777" w:rsidR="00191307" w:rsidRDefault="00000000">
            <w:pPr>
              <w:keepNext/>
              <w:keepLines/>
              <w:spacing w:after="0" w:line="240" w:lineRule="auto"/>
              <w:jc w:val="right"/>
            </w:pPr>
            <w:r>
              <w:rPr>
                <w:sz w:val="18"/>
              </w:rPr>
              <w:t>0,00</w:t>
            </w:r>
          </w:p>
        </w:tc>
        <w:tc>
          <w:tcPr>
            <w:tcW w:w="1860" w:type="dxa"/>
            <w:tcMar>
              <w:top w:w="0" w:type="dxa"/>
              <w:bottom w:w="0" w:type="dxa"/>
            </w:tcMar>
            <w:vAlign w:val="center"/>
          </w:tcPr>
          <w:p w14:paraId="62EE9057" w14:textId="77777777" w:rsidR="00191307" w:rsidRDefault="00000000">
            <w:pPr>
              <w:keepNext/>
              <w:keepLines/>
              <w:spacing w:after="0" w:line="240" w:lineRule="auto"/>
              <w:jc w:val="right"/>
            </w:pPr>
            <w:r>
              <w:rPr>
                <w:sz w:val="18"/>
              </w:rPr>
              <w:t>0,00</w:t>
            </w:r>
          </w:p>
        </w:tc>
        <w:tc>
          <w:tcPr>
            <w:tcW w:w="700" w:type="dxa"/>
            <w:tcMar>
              <w:top w:w="0" w:type="dxa"/>
              <w:bottom w:w="0" w:type="dxa"/>
            </w:tcMar>
            <w:vAlign w:val="center"/>
          </w:tcPr>
          <w:p w14:paraId="75245037" w14:textId="77777777" w:rsidR="00191307" w:rsidRDefault="00000000">
            <w:pPr>
              <w:keepNext/>
              <w:keepLines/>
              <w:spacing w:after="0" w:line="240" w:lineRule="auto"/>
              <w:jc w:val="right"/>
            </w:pPr>
            <w:r>
              <w:rPr>
                <w:sz w:val="18"/>
              </w:rPr>
              <w:t>-</w:t>
            </w:r>
          </w:p>
        </w:tc>
      </w:tr>
      <w:tr w:rsidR="00191307" w14:paraId="575E61AA" w14:textId="77777777">
        <w:trPr>
          <w:cantSplit/>
          <w:trHeight w:val="560"/>
        </w:trPr>
        <w:tc>
          <w:tcPr>
            <w:tcW w:w="700" w:type="dxa"/>
            <w:tcMar>
              <w:top w:w="0" w:type="dxa"/>
              <w:bottom w:w="0" w:type="dxa"/>
            </w:tcMar>
            <w:vAlign w:val="center"/>
          </w:tcPr>
          <w:p w14:paraId="0EE8F18D" w14:textId="77777777" w:rsidR="00191307" w:rsidRDefault="00191307">
            <w:pPr>
              <w:keepNext/>
              <w:keepLines/>
              <w:spacing w:after="0" w:line="240" w:lineRule="auto"/>
            </w:pPr>
          </w:p>
        </w:tc>
        <w:tc>
          <w:tcPr>
            <w:tcW w:w="3180" w:type="dxa"/>
            <w:tcMar>
              <w:top w:w="0" w:type="dxa"/>
              <w:bottom w:w="0" w:type="dxa"/>
            </w:tcMar>
            <w:vAlign w:val="center"/>
          </w:tcPr>
          <w:p w14:paraId="19875A6F" w14:textId="77777777" w:rsidR="00191307"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78A50E3E" w14:textId="77777777" w:rsidR="00191307" w:rsidRDefault="00000000">
            <w:pPr>
              <w:keepNext/>
              <w:keepLines/>
              <w:spacing w:after="0" w:line="240" w:lineRule="auto"/>
            </w:pPr>
            <w:r>
              <w:rPr>
                <w:b/>
                <w:sz w:val="18"/>
              </w:rPr>
              <w:t>X003, Y003</w:t>
            </w:r>
          </w:p>
        </w:tc>
        <w:tc>
          <w:tcPr>
            <w:tcW w:w="1860" w:type="dxa"/>
            <w:tcMar>
              <w:top w:w="0" w:type="dxa"/>
              <w:bottom w:w="0" w:type="dxa"/>
            </w:tcMar>
            <w:vAlign w:val="center"/>
          </w:tcPr>
          <w:p w14:paraId="6F204A05" w14:textId="77777777" w:rsidR="00191307" w:rsidRDefault="00000000">
            <w:pPr>
              <w:keepNext/>
              <w:keepLines/>
              <w:spacing w:after="0" w:line="240" w:lineRule="auto"/>
              <w:jc w:val="right"/>
            </w:pPr>
            <w:r>
              <w:rPr>
                <w:b/>
                <w:sz w:val="18"/>
              </w:rPr>
              <w:t>0,00</w:t>
            </w:r>
          </w:p>
        </w:tc>
        <w:tc>
          <w:tcPr>
            <w:tcW w:w="1860" w:type="dxa"/>
            <w:tcMar>
              <w:top w:w="0" w:type="dxa"/>
              <w:bottom w:w="0" w:type="dxa"/>
            </w:tcMar>
            <w:vAlign w:val="center"/>
          </w:tcPr>
          <w:p w14:paraId="44C4986E" w14:textId="77777777" w:rsidR="00191307" w:rsidRDefault="00000000">
            <w:pPr>
              <w:keepNext/>
              <w:keepLines/>
              <w:spacing w:after="0" w:line="240" w:lineRule="auto"/>
              <w:jc w:val="right"/>
            </w:pPr>
            <w:r>
              <w:rPr>
                <w:b/>
                <w:sz w:val="18"/>
              </w:rPr>
              <w:t>0,00</w:t>
            </w:r>
          </w:p>
        </w:tc>
        <w:tc>
          <w:tcPr>
            <w:tcW w:w="700" w:type="dxa"/>
            <w:tcMar>
              <w:top w:w="0" w:type="dxa"/>
              <w:bottom w:w="0" w:type="dxa"/>
            </w:tcMar>
            <w:vAlign w:val="center"/>
          </w:tcPr>
          <w:p w14:paraId="45187C1E" w14:textId="77777777" w:rsidR="00191307" w:rsidRDefault="00000000">
            <w:pPr>
              <w:keepNext/>
              <w:keepLines/>
              <w:spacing w:after="0" w:line="240" w:lineRule="auto"/>
              <w:jc w:val="right"/>
            </w:pPr>
            <w:r>
              <w:rPr>
                <w:b/>
                <w:sz w:val="18"/>
              </w:rPr>
              <w:t>-</w:t>
            </w:r>
          </w:p>
        </w:tc>
      </w:tr>
      <w:tr w:rsidR="00191307" w14:paraId="43C21210" w14:textId="77777777">
        <w:trPr>
          <w:cantSplit/>
          <w:trHeight w:val="560"/>
        </w:trPr>
        <w:tc>
          <w:tcPr>
            <w:tcW w:w="700" w:type="dxa"/>
            <w:tcMar>
              <w:top w:w="0" w:type="dxa"/>
              <w:bottom w:w="0" w:type="dxa"/>
            </w:tcMar>
            <w:vAlign w:val="center"/>
          </w:tcPr>
          <w:p w14:paraId="5AD59DA2" w14:textId="77777777" w:rsidR="00191307" w:rsidRDefault="00191307">
            <w:pPr>
              <w:keepNext/>
              <w:keepLines/>
              <w:spacing w:after="0" w:line="240" w:lineRule="auto"/>
            </w:pPr>
          </w:p>
        </w:tc>
        <w:tc>
          <w:tcPr>
            <w:tcW w:w="3180" w:type="dxa"/>
            <w:tcMar>
              <w:top w:w="0" w:type="dxa"/>
              <w:bottom w:w="0" w:type="dxa"/>
            </w:tcMar>
            <w:vAlign w:val="center"/>
          </w:tcPr>
          <w:p w14:paraId="500D38C0" w14:textId="77777777" w:rsidR="00191307"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264702FB" w14:textId="77777777" w:rsidR="00191307" w:rsidRDefault="00000000">
            <w:pPr>
              <w:keepNext/>
              <w:keepLines/>
              <w:spacing w:after="0" w:line="240" w:lineRule="auto"/>
            </w:pPr>
            <w:r>
              <w:rPr>
                <w:b/>
                <w:sz w:val="18"/>
              </w:rPr>
              <w:t>Y005</w:t>
            </w:r>
          </w:p>
        </w:tc>
        <w:tc>
          <w:tcPr>
            <w:tcW w:w="1860" w:type="dxa"/>
            <w:tcMar>
              <w:top w:w="0" w:type="dxa"/>
              <w:bottom w:w="0" w:type="dxa"/>
            </w:tcMar>
            <w:vAlign w:val="center"/>
          </w:tcPr>
          <w:p w14:paraId="0D4A19E0" w14:textId="77777777" w:rsidR="00191307" w:rsidRDefault="00000000">
            <w:pPr>
              <w:keepNext/>
              <w:keepLines/>
              <w:spacing w:after="0" w:line="240" w:lineRule="auto"/>
              <w:jc w:val="right"/>
            </w:pPr>
            <w:r>
              <w:rPr>
                <w:b/>
                <w:sz w:val="18"/>
              </w:rPr>
              <w:t>101.875,46</w:t>
            </w:r>
          </w:p>
        </w:tc>
        <w:tc>
          <w:tcPr>
            <w:tcW w:w="1860" w:type="dxa"/>
            <w:tcMar>
              <w:top w:w="0" w:type="dxa"/>
              <w:bottom w:w="0" w:type="dxa"/>
            </w:tcMar>
            <w:vAlign w:val="center"/>
          </w:tcPr>
          <w:p w14:paraId="6ECF4CD0" w14:textId="77777777" w:rsidR="00191307" w:rsidRDefault="00000000">
            <w:pPr>
              <w:keepNext/>
              <w:keepLines/>
              <w:spacing w:after="0" w:line="240" w:lineRule="auto"/>
              <w:jc w:val="right"/>
            </w:pPr>
            <w:r>
              <w:rPr>
                <w:b/>
                <w:sz w:val="18"/>
              </w:rPr>
              <w:t>40.431,02</w:t>
            </w:r>
          </w:p>
        </w:tc>
        <w:tc>
          <w:tcPr>
            <w:tcW w:w="700" w:type="dxa"/>
            <w:tcMar>
              <w:top w:w="0" w:type="dxa"/>
              <w:bottom w:w="0" w:type="dxa"/>
            </w:tcMar>
            <w:vAlign w:val="center"/>
          </w:tcPr>
          <w:p w14:paraId="21C2A85F" w14:textId="77777777" w:rsidR="00191307" w:rsidRDefault="00000000">
            <w:pPr>
              <w:keepNext/>
              <w:keepLines/>
              <w:spacing w:after="0" w:line="240" w:lineRule="auto"/>
              <w:jc w:val="right"/>
            </w:pPr>
            <w:r>
              <w:rPr>
                <w:b/>
                <w:sz w:val="18"/>
              </w:rPr>
              <w:t>39,7</w:t>
            </w:r>
          </w:p>
        </w:tc>
      </w:tr>
    </w:tbl>
    <w:p w14:paraId="073BC995" w14:textId="77777777" w:rsidR="00191307" w:rsidRDefault="00191307">
      <w:pPr>
        <w:spacing w:after="0"/>
      </w:pPr>
    </w:p>
    <w:p w14:paraId="1BB0FD79" w14:textId="77777777" w:rsidR="00191307" w:rsidRDefault="00000000">
      <w:r>
        <w:t xml:space="preserve">U razdoblju od 01. siječnja do 31. ožujka 2026. prihodi poslovanja ostvareni su u iznosu od 575.966,37 EUR.  Određeni prihodi bilježe povećanje ali najznačajnije povećanje prihoda ostvareno je od tekućih pomoći iz nenadležnog proračuna, prihoda iz nadležnog proračuna za financiranje rashoda za poslovanja i rashoda za nabavu nefinancijske imovine, dok prijenosi između proračunskih korisnika istog proračuna bilježe manje prihode. Rashodi poslovanja u </w:t>
      </w:r>
      <w:r>
        <w:lastRenderedPageBreak/>
        <w:t>razdoblju od 01. siječnja do 31. ožujka 2026. ostvareni su u iznosu od 607.567,32 EUR te tako bilježe smanjenje u odnosu na isto razdoblje prethodne godine. Rashodi za nabavu nefinancijske imovine su ostvareni u iznosu od 8.830,07 EUR, vezani za nabavu namještaja za prostor Poludnevnog boravka i za nabavu opreme za sportsku dvorane. U razdoblju od 01. siječnja 2026. do 31. ožujka 2026. ostvaren je manjak od nefinancijske imovine u iznosu od 8.830,07, pa je ukupni manjak prihoda i primitaka na kraju izvještajnog razdoblje ostvaren u iznosu od 40.431,02 EUR.</w:t>
      </w:r>
    </w:p>
    <w:p w14:paraId="6FF8C21A" w14:textId="77777777" w:rsidR="00191307" w:rsidRDefault="00000000">
      <w:r>
        <w:br/>
      </w:r>
    </w:p>
    <w:p w14:paraId="353B53A9" w14:textId="77777777" w:rsidR="00191307"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91307" w14:paraId="049BEC7C" w14:textId="77777777">
        <w:trPr>
          <w:cantSplit/>
        </w:trPr>
        <w:tc>
          <w:tcPr>
            <w:tcW w:w="700" w:type="dxa"/>
            <w:shd w:val="clear" w:color="auto" w:fill="E7F0F9"/>
            <w:tcMar>
              <w:top w:w="0" w:type="dxa"/>
              <w:bottom w:w="0" w:type="dxa"/>
            </w:tcMar>
            <w:vAlign w:val="center"/>
          </w:tcPr>
          <w:p w14:paraId="400549BE" w14:textId="77777777" w:rsidR="0019130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EAE594" w14:textId="77777777" w:rsidR="001913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76134A" w14:textId="77777777" w:rsidR="001913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CEE463" w14:textId="77777777" w:rsidR="0019130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1C7006" w14:textId="77777777" w:rsidR="0019130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0269A6" w14:textId="77777777" w:rsidR="00191307" w:rsidRDefault="00000000">
            <w:pPr>
              <w:keepNext/>
              <w:keepLines/>
              <w:spacing w:after="0" w:line="240" w:lineRule="auto"/>
              <w:jc w:val="center"/>
            </w:pPr>
            <w:r>
              <w:rPr>
                <w:b/>
                <w:sz w:val="18"/>
              </w:rPr>
              <w:t>Indeks (%)</w:t>
            </w:r>
          </w:p>
        </w:tc>
      </w:tr>
      <w:tr w:rsidR="00191307" w14:paraId="0010E2E9" w14:textId="77777777">
        <w:trPr>
          <w:cantSplit/>
          <w:trHeight w:val="560"/>
        </w:trPr>
        <w:tc>
          <w:tcPr>
            <w:tcW w:w="700" w:type="dxa"/>
            <w:tcMar>
              <w:top w:w="0" w:type="dxa"/>
              <w:bottom w:w="0" w:type="dxa"/>
            </w:tcMar>
            <w:vAlign w:val="center"/>
          </w:tcPr>
          <w:p w14:paraId="6CCC092A" w14:textId="77777777" w:rsidR="00191307" w:rsidRDefault="00000000">
            <w:pPr>
              <w:keepNext/>
              <w:keepLines/>
              <w:spacing w:after="0" w:line="240" w:lineRule="auto"/>
            </w:pPr>
            <w:r>
              <w:rPr>
                <w:sz w:val="18"/>
              </w:rPr>
              <w:t>636</w:t>
            </w:r>
          </w:p>
        </w:tc>
        <w:tc>
          <w:tcPr>
            <w:tcW w:w="3180" w:type="dxa"/>
            <w:tcMar>
              <w:top w:w="0" w:type="dxa"/>
              <w:bottom w:w="0" w:type="dxa"/>
            </w:tcMar>
            <w:vAlign w:val="center"/>
          </w:tcPr>
          <w:p w14:paraId="6A889255" w14:textId="77777777" w:rsidR="00191307" w:rsidRDefault="00000000">
            <w:pPr>
              <w:keepNext/>
              <w:keepLines/>
              <w:spacing w:after="0" w:line="240" w:lineRule="auto"/>
            </w:pPr>
            <w:r>
              <w:rPr>
                <w:sz w:val="18"/>
              </w:rPr>
              <w:t>Pomoći proračunskim korisnicima iz proračuna koji im nije nadležan (šifre 6361+6362)</w:t>
            </w:r>
          </w:p>
        </w:tc>
        <w:tc>
          <w:tcPr>
            <w:tcW w:w="700" w:type="dxa"/>
            <w:tcMar>
              <w:top w:w="0" w:type="dxa"/>
              <w:bottom w:w="0" w:type="dxa"/>
            </w:tcMar>
            <w:vAlign w:val="center"/>
          </w:tcPr>
          <w:p w14:paraId="1462AD4F" w14:textId="77777777" w:rsidR="00191307" w:rsidRDefault="00000000">
            <w:pPr>
              <w:keepNext/>
              <w:keepLines/>
              <w:spacing w:after="0" w:line="240" w:lineRule="auto"/>
            </w:pPr>
            <w:r>
              <w:rPr>
                <w:sz w:val="18"/>
              </w:rPr>
              <w:t>636</w:t>
            </w:r>
          </w:p>
        </w:tc>
        <w:tc>
          <w:tcPr>
            <w:tcW w:w="1860" w:type="dxa"/>
            <w:tcMar>
              <w:top w:w="0" w:type="dxa"/>
              <w:bottom w:w="0" w:type="dxa"/>
            </w:tcMar>
            <w:vAlign w:val="center"/>
          </w:tcPr>
          <w:p w14:paraId="289F6ECA" w14:textId="77777777" w:rsidR="00191307" w:rsidRDefault="00000000">
            <w:pPr>
              <w:keepNext/>
              <w:keepLines/>
              <w:spacing w:after="0" w:line="240" w:lineRule="auto"/>
              <w:jc w:val="right"/>
            </w:pPr>
            <w:r>
              <w:rPr>
                <w:sz w:val="18"/>
              </w:rPr>
              <w:t>359.241,30</w:t>
            </w:r>
          </w:p>
        </w:tc>
        <w:tc>
          <w:tcPr>
            <w:tcW w:w="1860" w:type="dxa"/>
            <w:tcMar>
              <w:top w:w="0" w:type="dxa"/>
              <w:bottom w:w="0" w:type="dxa"/>
            </w:tcMar>
            <w:vAlign w:val="center"/>
          </w:tcPr>
          <w:p w14:paraId="076A12FA" w14:textId="77777777" w:rsidR="00191307" w:rsidRDefault="00000000">
            <w:pPr>
              <w:keepNext/>
              <w:keepLines/>
              <w:spacing w:after="0" w:line="240" w:lineRule="auto"/>
              <w:jc w:val="right"/>
            </w:pPr>
            <w:r>
              <w:rPr>
                <w:sz w:val="18"/>
              </w:rPr>
              <w:t>380.308,97</w:t>
            </w:r>
          </w:p>
        </w:tc>
        <w:tc>
          <w:tcPr>
            <w:tcW w:w="700" w:type="dxa"/>
            <w:tcMar>
              <w:top w:w="0" w:type="dxa"/>
              <w:bottom w:w="0" w:type="dxa"/>
            </w:tcMar>
            <w:vAlign w:val="center"/>
          </w:tcPr>
          <w:p w14:paraId="0B66C143" w14:textId="77777777" w:rsidR="00191307" w:rsidRDefault="00000000">
            <w:pPr>
              <w:keepNext/>
              <w:keepLines/>
              <w:spacing w:after="0" w:line="240" w:lineRule="auto"/>
              <w:jc w:val="right"/>
            </w:pPr>
            <w:r>
              <w:rPr>
                <w:sz w:val="18"/>
              </w:rPr>
              <w:t>105,9</w:t>
            </w:r>
          </w:p>
        </w:tc>
      </w:tr>
    </w:tbl>
    <w:p w14:paraId="22DDC7A2" w14:textId="77777777" w:rsidR="00191307" w:rsidRDefault="00191307">
      <w:pPr>
        <w:spacing w:after="0"/>
      </w:pPr>
    </w:p>
    <w:p w14:paraId="3140542A" w14:textId="77777777" w:rsidR="00191307" w:rsidRDefault="00000000">
      <w:r>
        <w:t>Tekuće pomoći proračunskim korisnicima iz proračuna koji im nije nadležan bilježe povećanje u odnosu na isto razdoblje prethodne godine zbog većih prihoda za financiranje plaća zaposlenika uslijed porasta osnovice za obračun plaća i porasta broja zaposlenih. </w:t>
      </w:r>
    </w:p>
    <w:p w14:paraId="0BE9AD39" w14:textId="77777777" w:rsidR="00191307" w:rsidRDefault="00191307"/>
    <w:p w14:paraId="1EA70EA5" w14:textId="77777777" w:rsidR="00191307"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91307" w14:paraId="1F519408" w14:textId="77777777">
        <w:trPr>
          <w:cantSplit/>
        </w:trPr>
        <w:tc>
          <w:tcPr>
            <w:tcW w:w="700" w:type="dxa"/>
            <w:shd w:val="clear" w:color="auto" w:fill="E7F0F9"/>
            <w:tcMar>
              <w:top w:w="0" w:type="dxa"/>
              <w:bottom w:w="0" w:type="dxa"/>
            </w:tcMar>
            <w:vAlign w:val="center"/>
          </w:tcPr>
          <w:p w14:paraId="09E9867E" w14:textId="77777777" w:rsidR="0019130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D94C3D" w14:textId="77777777" w:rsidR="001913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4EB067" w14:textId="77777777" w:rsidR="001913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D23D01" w14:textId="77777777" w:rsidR="0019130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7B242E" w14:textId="77777777" w:rsidR="0019130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27EA3B" w14:textId="77777777" w:rsidR="00191307" w:rsidRDefault="00000000">
            <w:pPr>
              <w:keepNext/>
              <w:keepLines/>
              <w:spacing w:after="0" w:line="240" w:lineRule="auto"/>
              <w:jc w:val="center"/>
            </w:pPr>
            <w:r>
              <w:rPr>
                <w:b/>
                <w:sz w:val="18"/>
              </w:rPr>
              <w:t>Indeks (%)</w:t>
            </w:r>
          </w:p>
        </w:tc>
      </w:tr>
      <w:tr w:rsidR="00191307" w14:paraId="12FAA300" w14:textId="77777777">
        <w:trPr>
          <w:cantSplit/>
          <w:trHeight w:val="560"/>
        </w:trPr>
        <w:tc>
          <w:tcPr>
            <w:tcW w:w="700" w:type="dxa"/>
            <w:tcMar>
              <w:top w:w="0" w:type="dxa"/>
              <w:bottom w:w="0" w:type="dxa"/>
            </w:tcMar>
            <w:vAlign w:val="center"/>
          </w:tcPr>
          <w:p w14:paraId="17A8AC08" w14:textId="77777777" w:rsidR="00191307" w:rsidRDefault="00000000">
            <w:pPr>
              <w:keepNext/>
              <w:keepLines/>
              <w:spacing w:after="0" w:line="240" w:lineRule="auto"/>
            </w:pPr>
            <w:r>
              <w:rPr>
                <w:sz w:val="18"/>
              </w:rPr>
              <w:t>6711</w:t>
            </w:r>
          </w:p>
        </w:tc>
        <w:tc>
          <w:tcPr>
            <w:tcW w:w="3180" w:type="dxa"/>
            <w:tcMar>
              <w:top w:w="0" w:type="dxa"/>
              <w:bottom w:w="0" w:type="dxa"/>
            </w:tcMar>
            <w:vAlign w:val="center"/>
          </w:tcPr>
          <w:p w14:paraId="3CDC806E" w14:textId="77777777" w:rsidR="00191307"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7237C769" w14:textId="77777777" w:rsidR="00191307" w:rsidRDefault="00000000">
            <w:pPr>
              <w:keepNext/>
              <w:keepLines/>
              <w:spacing w:after="0" w:line="240" w:lineRule="auto"/>
            </w:pPr>
            <w:r>
              <w:rPr>
                <w:sz w:val="18"/>
              </w:rPr>
              <w:t>6711</w:t>
            </w:r>
          </w:p>
        </w:tc>
        <w:tc>
          <w:tcPr>
            <w:tcW w:w="1860" w:type="dxa"/>
            <w:tcMar>
              <w:top w:w="0" w:type="dxa"/>
              <w:bottom w:w="0" w:type="dxa"/>
            </w:tcMar>
            <w:vAlign w:val="center"/>
          </w:tcPr>
          <w:p w14:paraId="60EA03F9" w14:textId="77777777" w:rsidR="00191307" w:rsidRDefault="00000000">
            <w:pPr>
              <w:keepNext/>
              <w:keepLines/>
              <w:spacing w:after="0" w:line="240" w:lineRule="auto"/>
              <w:jc w:val="right"/>
            </w:pPr>
            <w:r>
              <w:rPr>
                <w:sz w:val="18"/>
              </w:rPr>
              <w:t>122.635,95</w:t>
            </w:r>
          </w:p>
        </w:tc>
        <w:tc>
          <w:tcPr>
            <w:tcW w:w="1860" w:type="dxa"/>
            <w:tcMar>
              <w:top w:w="0" w:type="dxa"/>
              <w:bottom w:w="0" w:type="dxa"/>
            </w:tcMar>
            <w:vAlign w:val="center"/>
          </w:tcPr>
          <w:p w14:paraId="0CA758FA" w14:textId="77777777" w:rsidR="00191307" w:rsidRDefault="00000000">
            <w:pPr>
              <w:keepNext/>
              <w:keepLines/>
              <w:spacing w:after="0" w:line="240" w:lineRule="auto"/>
              <w:jc w:val="right"/>
            </w:pPr>
            <w:r>
              <w:rPr>
                <w:sz w:val="18"/>
              </w:rPr>
              <w:t>146.803,08</w:t>
            </w:r>
          </w:p>
        </w:tc>
        <w:tc>
          <w:tcPr>
            <w:tcW w:w="700" w:type="dxa"/>
            <w:tcMar>
              <w:top w:w="0" w:type="dxa"/>
              <w:bottom w:w="0" w:type="dxa"/>
            </w:tcMar>
            <w:vAlign w:val="center"/>
          </w:tcPr>
          <w:p w14:paraId="0B0D296B" w14:textId="77777777" w:rsidR="00191307" w:rsidRDefault="00000000">
            <w:pPr>
              <w:keepNext/>
              <w:keepLines/>
              <w:spacing w:after="0" w:line="240" w:lineRule="auto"/>
              <w:jc w:val="right"/>
            </w:pPr>
            <w:r>
              <w:rPr>
                <w:sz w:val="18"/>
              </w:rPr>
              <w:t>119,7</w:t>
            </w:r>
          </w:p>
        </w:tc>
      </w:tr>
    </w:tbl>
    <w:p w14:paraId="344BE229" w14:textId="77777777" w:rsidR="00191307" w:rsidRDefault="00191307">
      <w:pPr>
        <w:spacing w:after="0"/>
      </w:pPr>
    </w:p>
    <w:p w14:paraId="5E300A59" w14:textId="77777777" w:rsidR="00191307" w:rsidRDefault="00000000">
      <w:r>
        <w:t>Prihodi od nadležnog proračuna za financiranje rashoda poslovanja bilježe povećanje za 19,7% u odnosu na isto razdoblje prethodne godine zbog većih prihoda za pokriće metodološkog manjka prenesenog iz prethodne godine.</w:t>
      </w:r>
    </w:p>
    <w:p w14:paraId="7409CECC" w14:textId="77777777" w:rsidR="00191307" w:rsidRDefault="00191307"/>
    <w:p w14:paraId="374F597A" w14:textId="77777777" w:rsidR="00191307"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91307" w14:paraId="4CE5BD8D" w14:textId="77777777">
        <w:trPr>
          <w:cantSplit/>
        </w:trPr>
        <w:tc>
          <w:tcPr>
            <w:tcW w:w="700" w:type="dxa"/>
            <w:shd w:val="clear" w:color="auto" w:fill="E7F0F9"/>
            <w:tcMar>
              <w:top w:w="0" w:type="dxa"/>
              <w:bottom w:w="0" w:type="dxa"/>
            </w:tcMar>
            <w:vAlign w:val="center"/>
          </w:tcPr>
          <w:p w14:paraId="7A28706A" w14:textId="77777777" w:rsidR="0019130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6D7D34" w14:textId="77777777" w:rsidR="001913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6926E9" w14:textId="77777777" w:rsidR="001913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06653A" w14:textId="77777777" w:rsidR="0019130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663ED5" w14:textId="77777777" w:rsidR="0019130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854647" w14:textId="77777777" w:rsidR="00191307" w:rsidRDefault="00000000">
            <w:pPr>
              <w:keepNext/>
              <w:keepLines/>
              <w:spacing w:after="0" w:line="240" w:lineRule="auto"/>
              <w:jc w:val="center"/>
            </w:pPr>
            <w:r>
              <w:rPr>
                <w:b/>
                <w:sz w:val="18"/>
              </w:rPr>
              <w:t>Indeks (%)</w:t>
            </w:r>
          </w:p>
        </w:tc>
      </w:tr>
      <w:tr w:rsidR="00191307" w14:paraId="4B51D029" w14:textId="77777777">
        <w:trPr>
          <w:cantSplit/>
          <w:trHeight w:val="560"/>
        </w:trPr>
        <w:tc>
          <w:tcPr>
            <w:tcW w:w="700" w:type="dxa"/>
            <w:tcMar>
              <w:top w:w="0" w:type="dxa"/>
              <w:bottom w:w="0" w:type="dxa"/>
            </w:tcMar>
            <w:vAlign w:val="center"/>
          </w:tcPr>
          <w:p w14:paraId="24A5A710" w14:textId="77777777" w:rsidR="00191307" w:rsidRDefault="00000000">
            <w:pPr>
              <w:keepNext/>
              <w:keepLines/>
              <w:spacing w:after="0" w:line="240" w:lineRule="auto"/>
            </w:pPr>
            <w:r>
              <w:rPr>
                <w:sz w:val="18"/>
              </w:rPr>
              <w:t>6712</w:t>
            </w:r>
          </w:p>
        </w:tc>
        <w:tc>
          <w:tcPr>
            <w:tcW w:w="3180" w:type="dxa"/>
            <w:tcMar>
              <w:top w:w="0" w:type="dxa"/>
              <w:bottom w:w="0" w:type="dxa"/>
            </w:tcMar>
            <w:vAlign w:val="center"/>
          </w:tcPr>
          <w:p w14:paraId="0206C651" w14:textId="77777777" w:rsidR="00191307"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58F2B910" w14:textId="77777777" w:rsidR="00191307" w:rsidRDefault="00000000">
            <w:pPr>
              <w:keepNext/>
              <w:keepLines/>
              <w:spacing w:after="0" w:line="240" w:lineRule="auto"/>
            </w:pPr>
            <w:r>
              <w:rPr>
                <w:sz w:val="18"/>
              </w:rPr>
              <w:t>6712</w:t>
            </w:r>
          </w:p>
        </w:tc>
        <w:tc>
          <w:tcPr>
            <w:tcW w:w="1860" w:type="dxa"/>
            <w:tcMar>
              <w:top w:w="0" w:type="dxa"/>
              <w:bottom w:w="0" w:type="dxa"/>
            </w:tcMar>
            <w:vAlign w:val="center"/>
          </w:tcPr>
          <w:p w14:paraId="72B27806" w14:textId="77777777" w:rsidR="00191307" w:rsidRDefault="00000000">
            <w:pPr>
              <w:keepNext/>
              <w:keepLines/>
              <w:spacing w:after="0" w:line="240" w:lineRule="auto"/>
              <w:jc w:val="right"/>
            </w:pPr>
            <w:r>
              <w:rPr>
                <w:sz w:val="18"/>
              </w:rPr>
              <w:t>0,00</w:t>
            </w:r>
          </w:p>
        </w:tc>
        <w:tc>
          <w:tcPr>
            <w:tcW w:w="1860" w:type="dxa"/>
            <w:tcMar>
              <w:top w:w="0" w:type="dxa"/>
              <w:bottom w:w="0" w:type="dxa"/>
            </w:tcMar>
            <w:vAlign w:val="center"/>
          </w:tcPr>
          <w:p w14:paraId="43B36D86" w14:textId="77777777" w:rsidR="00191307" w:rsidRDefault="00000000">
            <w:pPr>
              <w:keepNext/>
              <w:keepLines/>
              <w:spacing w:after="0" w:line="240" w:lineRule="auto"/>
              <w:jc w:val="right"/>
            </w:pPr>
            <w:r>
              <w:rPr>
                <w:sz w:val="18"/>
              </w:rPr>
              <w:t>4.911,56</w:t>
            </w:r>
          </w:p>
        </w:tc>
        <w:tc>
          <w:tcPr>
            <w:tcW w:w="700" w:type="dxa"/>
            <w:tcMar>
              <w:top w:w="0" w:type="dxa"/>
              <w:bottom w:w="0" w:type="dxa"/>
            </w:tcMar>
            <w:vAlign w:val="center"/>
          </w:tcPr>
          <w:p w14:paraId="557D8485" w14:textId="77777777" w:rsidR="00191307" w:rsidRDefault="00000000">
            <w:pPr>
              <w:keepNext/>
              <w:keepLines/>
              <w:spacing w:after="0" w:line="240" w:lineRule="auto"/>
              <w:jc w:val="right"/>
            </w:pPr>
            <w:r>
              <w:rPr>
                <w:sz w:val="18"/>
              </w:rPr>
              <w:t>-</w:t>
            </w:r>
          </w:p>
        </w:tc>
      </w:tr>
    </w:tbl>
    <w:p w14:paraId="1CAB99AD" w14:textId="77777777" w:rsidR="00191307" w:rsidRDefault="00191307">
      <w:pPr>
        <w:spacing w:after="0"/>
      </w:pPr>
    </w:p>
    <w:p w14:paraId="7E334115" w14:textId="77777777" w:rsidR="00191307" w:rsidRDefault="00000000">
      <w:r>
        <w:t>Prihodi iz nadležnog proračuna za financiranje rashoda za nabavu nefinancijske imovine su ostvareni u iznosu od 4.911,56 EUR, za opremu učionica i sportske dvorane, dok prošle godine nisu bili ostvareni za to razdoblje.</w:t>
      </w:r>
    </w:p>
    <w:p w14:paraId="0F54CE86" w14:textId="77777777" w:rsidR="00191307" w:rsidRDefault="00191307"/>
    <w:p w14:paraId="4383A2F3" w14:textId="77777777" w:rsidR="00191307"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91307" w14:paraId="417B7982" w14:textId="77777777">
        <w:trPr>
          <w:cantSplit/>
        </w:trPr>
        <w:tc>
          <w:tcPr>
            <w:tcW w:w="700" w:type="dxa"/>
            <w:shd w:val="clear" w:color="auto" w:fill="E7F0F9"/>
            <w:tcMar>
              <w:top w:w="0" w:type="dxa"/>
              <w:bottom w:w="0" w:type="dxa"/>
            </w:tcMar>
            <w:vAlign w:val="center"/>
          </w:tcPr>
          <w:p w14:paraId="2C0F2DEE" w14:textId="77777777" w:rsidR="0019130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61BB48" w14:textId="77777777" w:rsidR="001913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5A9F5D" w14:textId="77777777" w:rsidR="001913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A05CF8" w14:textId="77777777" w:rsidR="0019130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1B7A0C" w14:textId="77777777" w:rsidR="0019130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260431" w14:textId="77777777" w:rsidR="00191307" w:rsidRDefault="00000000">
            <w:pPr>
              <w:keepNext/>
              <w:keepLines/>
              <w:spacing w:after="0" w:line="240" w:lineRule="auto"/>
              <w:jc w:val="center"/>
            </w:pPr>
            <w:r>
              <w:rPr>
                <w:b/>
                <w:sz w:val="18"/>
              </w:rPr>
              <w:t>Indeks (%)</w:t>
            </w:r>
          </w:p>
        </w:tc>
      </w:tr>
      <w:tr w:rsidR="00191307" w14:paraId="44246419" w14:textId="77777777">
        <w:trPr>
          <w:cantSplit/>
          <w:trHeight w:val="560"/>
        </w:trPr>
        <w:tc>
          <w:tcPr>
            <w:tcW w:w="700" w:type="dxa"/>
            <w:tcMar>
              <w:top w:w="0" w:type="dxa"/>
              <w:bottom w:w="0" w:type="dxa"/>
            </w:tcMar>
            <w:vAlign w:val="center"/>
          </w:tcPr>
          <w:p w14:paraId="38F1426C" w14:textId="77777777" w:rsidR="00191307" w:rsidRDefault="00000000">
            <w:pPr>
              <w:keepNext/>
              <w:keepLines/>
              <w:spacing w:after="0" w:line="240" w:lineRule="auto"/>
            </w:pPr>
            <w:r>
              <w:rPr>
                <w:sz w:val="18"/>
              </w:rPr>
              <w:t>312</w:t>
            </w:r>
          </w:p>
        </w:tc>
        <w:tc>
          <w:tcPr>
            <w:tcW w:w="3180" w:type="dxa"/>
            <w:tcMar>
              <w:top w:w="0" w:type="dxa"/>
              <w:bottom w:w="0" w:type="dxa"/>
            </w:tcMar>
            <w:vAlign w:val="center"/>
          </w:tcPr>
          <w:p w14:paraId="1A8E0D0B" w14:textId="77777777" w:rsidR="00191307" w:rsidRDefault="00000000">
            <w:pPr>
              <w:keepNext/>
              <w:keepLines/>
              <w:spacing w:after="0" w:line="240" w:lineRule="auto"/>
            </w:pPr>
            <w:r>
              <w:rPr>
                <w:sz w:val="18"/>
              </w:rPr>
              <w:t>Ostali rashodi za zaposlene</w:t>
            </w:r>
          </w:p>
        </w:tc>
        <w:tc>
          <w:tcPr>
            <w:tcW w:w="700" w:type="dxa"/>
            <w:tcMar>
              <w:top w:w="0" w:type="dxa"/>
              <w:bottom w:w="0" w:type="dxa"/>
            </w:tcMar>
            <w:vAlign w:val="center"/>
          </w:tcPr>
          <w:p w14:paraId="5697105F" w14:textId="77777777" w:rsidR="00191307" w:rsidRDefault="00000000">
            <w:pPr>
              <w:keepNext/>
              <w:keepLines/>
              <w:spacing w:after="0" w:line="240" w:lineRule="auto"/>
            </w:pPr>
            <w:r>
              <w:rPr>
                <w:sz w:val="18"/>
              </w:rPr>
              <w:t>312</w:t>
            </w:r>
          </w:p>
        </w:tc>
        <w:tc>
          <w:tcPr>
            <w:tcW w:w="1860" w:type="dxa"/>
            <w:tcMar>
              <w:top w:w="0" w:type="dxa"/>
              <w:bottom w:w="0" w:type="dxa"/>
            </w:tcMar>
            <w:vAlign w:val="center"/>
          </w:tcPr>
          <w:p w14:paraId="7C5C013F" w14:textId="77777777" w:rsidR="00191307" w:rsidRDefault="00000000">
            <w:pPr>
              <w:keepNext/>
              <w:keepLines/>
              <w:spacing w:after="0" w:line="240" w:lineRule="auto"/>
              <w:jc w:val="right"/>
            </w:pPr>
            <w:r>
              <w:rPr>
                <w:sz w:val="18"/>
              </w:rPr>
              <w:t>3.592,38</w:t>
            </w:r>
          </w:p>
        </w:tc>
        <w:tc>
          <w:tcPr>
            <w:tcW w:w="1860" w:type="dxa"/>
            <w:tcMar>
              <w:top w:w="0" w:type="dxa"/>
              <w:bottom w:w="0" w:type="dxa"/>
            </w:tcMar>
            <w:vAlign w:val="center"/>
          </w:tcPr>
          <w:p w14:paraId="70A8CDF0" w14:textId="77777777" w:rsidR="00191307" w:rsidRDefault="00000000">
            <w:pPr>
              <w:keepNext/>
              <w:keepLines/>
              <w:spacing w:after="0" w:line="240" w:lineRule="auto"/>
              <w:jc w:val="right"/>
            </w:pPr>
            <w:r>
              <w:rPr>
                <w:sz w:val="18"/>
              </w:rPr>
              <w:t>16.801,60</w:t>
            </w:r>
          </w:p>
        </w:tc>
        <w:tc>
          <w:tcPr>
            <w:tcW w:w="700" w:type="dxa"/>
            <w:tcMar>
              <w:top w:w="0" w:type="dxa"/>
              <w:bottom w:w="0" w:type="dxa"/>
            </w:tcMar>
            <w:vAlign w:val="center"/>
          </w:tcPr>
          <w:p w14:paraId="16F15A5D" w14:textId="77777777" w:rsidR="00191307" w:rsidRDefault="00000000">
            <w:pPr>
              <w:keepNext/>
              <w:keepLines/>
              <w:spacing w:after="0" w:line="240" w:lineRule="auto"/>
              <w:jc w:val="right"/>
            </w:pPr>
            <w:r>
              <w:rPr>
                <w:sz w:val="18"/>
              </w:rPr>
              <w:t>467,7</w:t>
            </w:r>
          </w:p>
        </w:tc>
      </w:tr>
    </w:tbl>
    <w:p w14:paraId="4320E368" w14:textId="77777777" w:rsidR="00191307" w:rsidRDefault="00191307">
      <w:pPr>
        <w:spacing w:after="0"/>
      </w:pPr>
    </w:p>
    <w:p w14:paraId="5FC0DBD4" w14:textId="77777777" w:rsidR="00191307" w:rsidRDefault="00000000">
      <w:r>
        <w:t xml:space="preserve">Ostali rashodi za zaposlene bilježe veći porast jer je </w:t>
      </w:r>
      <w:proofErr w:type="spellStart"/>
      <w:r>
        <w:t>ostavren</w:t>
      </w:r>
      <w:proofErr w:type="spellEnd"/>
      <w:r>
        <w:t xml:space="preserve"> </w:t>
      </w:r>
      <w:proofErr w:type="spellStart"/>
      <w:r>
        <w:t>trosšak</w:t>
      </w:r>
      <w:proofErr w:type="spellEnd"/>
      <w:r>
        <w:t xml:space="preserve"> za </w:t>
      </w:r>
      <w:proofErr w:type="spellStart"/>
      <w:r>
        <w:t>uskrsnice</w:t>
      </w:r>
      <w:proofErr w:type="spellEnd"/>
      <w:r>
        <w:t>, regrese i trošak prehrane za pomoćnike.</w:t>
      </w:r>
    </w:p>
    <w:p w14:paraId="04BE460F" w14:textId="77777777" w:rsidR="00191307" w:rsidRDefault="00191307"/>
    <w:p w14:paraId="12927276" w14:textId="77777777" w:rsidR="00191307"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91307" w14:paraId="13AF53DB" w14:textId="77777777">
        <w:trPr>
          <w:cantSplit/>
        </w:trPr>
        <w:tc>
          <w:tcPr>
            <w:tcW w:w="700" w:type="dxa"/>
            <w:shd w:val="clear" w:color="auto" w:fill="E7F0F9"/>
            <w:tcMar>
              <w:top w:w="0" w:type="dxa"/>
              <w:bottom w:w="0" w:type="dxa"/>
            </w:tcMar>
            <w:vAlign w:val="center"/>
          </w:tcPr>
          <w:p w14:paraId="173DD783" w14:textId="77777777" w:rsidR="0019130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816A5F" w14:textId="77777777" w:rsidR="001913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DA97AE" w14:textId="77777777" w:rsidR="001913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F9A789" w14:textId="77777777" w:rsidR="0019130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9CE486" w14:textId="77777777" w:rsidR="0019130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F7B389" w14:textId="77777777" w:rsidR="00191307" w:rsidRDefault="00000000">
            <w:pPr>
              <w:keepNext/>
              <w:keepLines/>
              <w:spacing w:after="0" w:line="240" w:lineRule="auto"/>
              <w:jc w:val="center"/>
            </w:pPr>
            <w:r>
              <w:rPr>
                <w:b/>
                <w:sz w:val="18"/>
              </w:rPr>
              <w:t>Indeks (%)</w:t>
            </w:r>
          </w:p>
        </w:tc>
      </w:tr>
      <w:tr w:rsidR="00191307" w14:paraId="2AA5CA81" w14:textId="77777777">
        <w:trPr>
          <w:cantSplit/>
          <w:trHeight w:val="560"/>
        </w:trPr>
        <w:tc>
          <w:tcPr>
            <w:tcW w:w="700" w:type="dxa"/>
            <w:tcMar>
              <w:top w:w="0" w:type="dxa"/>
              <w:bottom w:w="0" w:type="dxa"/>
            </w:tcMar>
            <w:vAlign w:val="center"/>
          </w:tcPr>
          <w:p w14:paraId="4830BE2B" w14:textId="77777777" w:rsidR="00191307" w:rsidRDefault="00000000">
            <w:pPr>
              <w:keepNext/>
              <w:keepLines/>
              <w:spacing w:after="0" w:line="240" w:lineRule="auto"/>
            </w:pPr>
            <w:r>
              <w:rPr>
                <w:sz w:val="18"/>
              </w:rPr>
              <w:t>3221</w:t>
            </w:r>
          </w:p>
        </w:tc>
        <w:tc>
          <w:tcPr>
            <w:tcW w:w="3180" w:type="dxa"/>
            <w:tcMar>
              <w:top w:w="0" w:type="dxa"/>
              <w:bottom w:w="0" w:type="dxa"/>
            </w:tcMar>
            <w:vAlign w:val="center"/>
          </w:tcPr>
          <w:p w14:paraId="10FC47A6" w14:textId="77777777" w:rsidR="00191307" w:rsidRDefault="00000000">
            <w:pPr>
              <w:keepNext/>
              <w:keepLines/>
              <w:spacing w:after="0" w:line="240" w:lineRule="auto"/>
            </w:pPr>
            <w:r>
              <w:rPr>
                <w:sz w:val="18"/>
              </w:rPr>
              <w:t>Uredski materijal i ostali materijalni rashodi</w:t>
            </w:r>
          </w:p>
        </w:tc>
        <w:tc>
          <w:tcPr>
            <w:tcW w:w="700" w:type="dxa"/>
            <w:tcMar>
              <w:top w:w="0" w:type="dxa"/>
              <w:bottom w:w="0" w:type="dxa"/>
            </w:tcMar>
            <w:vAlign w:val="center"/>
          </w:tcPr>
          <w:p w14:paraId="39555E7B" w14:textId="77777777" w:rsidR="00191307" w:rsidRDefault="00000000">
            <w:pPr>
              <w:keepNext/>
              <w:keepLines/>
              <w:spacing w:after="0" w:line="240" w:lineRule="auto"/>
            </w:pPr>
            <w:r>
              <w:rPr>
                <w:sz w:val="18"/>
              </w:rPr>
              <w:t>3221</w:t>
            </w:r>
          </w:p>
        </w:tc>
        <w:tc>
          <w:tcPr>
            <w:tcW w:w="1860" w:type="dxa"/>
            <w:tcMar>
              <w:top w:w="0" w:type="dxa"/>
              <w:bottom w:w="0" w:type="dxa"/>
            </w:tcMar>
            <w:vAlign w:val="center"/>
          </w:tcPr>
          <w:p w14:paraId="1B1670D9" w14:textId="77777777" w:rsidR="00191307" w:rsidRDefault="00000000">
            <w:pPr>
              <w:keepNext/>
              <w:keepLines/>
              <w:spacing w:after="0" w:line="240" w:lineRule="auto"/>
              <w:jc w:val="right"/>
            </w:pPr>
            <w:r>
              <w:rPr>
                <w:sz w:val="18"/>
              </w:rPr>
              <w:t>3.462,37</w:t>
            </w:r>
          </w:p>
        </w:tc>
        <w:tc>
          <w:tcPr>
            <w:tcW w:w="1860" w:type="dxa"/>
            <w:tcMar>
              <w:top w:w="0" w:type="dxa"/>
              <w:bottom w:w="0" w:type="dxa"/>
            </w:tcMar>
            <w:vAlign w:val="center"/>
          </w:tcPr>
          <w:p w14:paraId="46F3F858" w14:textId="77777777" w:rsidR="00191307" w:rsidRDefault="00000000">
            <w:pPr>
              <w:keepNext/>
              <w:keepLines/>
              <w:spacing w:after="0" w:line="240" w:lineRule="auto"/>
              <w:jc w:val="right"/>
            </w:pPr>
            <w:r>
              <w:rPr>
                <w:sz w:val="18"/>
              </w:rPr>
              <w:t>4.172,23</w:t>
            </w:r>
          </w:p>
        </w:tc>
        <w:tc>
          <w:tcPr>
            <w:tcW w:w="700" w:type="dxa"/>
            <w:tcMar>
              <w:top w:w="0" w:type="dxa"/>
              <w:bottom w:w="0" w:type="dxa"/>
            </w:tcMar>
            <w:vAlign w:val="center"/>
          </w:tcPr>
          <w:p w14:paraId="188B14B3" w14:textId="77777777" w:rsidR="00191307" w:rsidRDefault="00000000">
            <w:pPr>
              <w:keepNext/>
              <w:keepLines/>
              <w:spacing w:after="0" w:line="240" w:lineRule="auto"/>
              <w:jc w:val="right"/>
            </w:pPr>
            <w:r>
              <w:rPr>
                <w:sz w:val="18"/>
              </w:rPr>
              <w:t>120,5</w:t>
            </w:r>
          </w:p>
        </w:tc>
      </w:tr>
    </w:tbl>
    <w:p w14:paraId="35568889" w14:textId="77777777" w:rsidR="00191307" w:rsidRDefault="00191307">
      <w:pPr>
        <w:spacing w:after="0"/>
      </w:pPr>
    </w:p>
    <w:p w14:paraId="53C0C928" w14:textId="77777777" w:rsidR="00191307" w:rsidRDefault="00000000">
      <w:r>
        <w:t>Rashodi za uredski materijal i ostali materijalni rashodi bilježe povećanje od 20,5% zbog većih rashoda za materijal za učionice za rad sa učenicima ali i poradi povećanja cijena materijala.</w:t>
      </w:r>
    </w:p>
    <w:p w14:paraId="25F1F81F" w14:textId="77777777" w:rsidR="00191307" w:rsidRDefault="00191307"/>
    <w:p w14:paraId="4EC88903" w14:textId="77777777" w:rsidR="00191307"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91307" w14:paraId="5523725D" w14:textId="77777777">
        <w:trPr>
          <w:cantSplit/>
        </w:trPr>
        <w:tc>
          <w:tcPr>
            <w:tcW w:w="700" w:type="dxa"/>
            <w:shd w:val="clear" w:color="auto" w:fill="E7F0F9"/>
            <w:tcMar>
              <w:top w:w="0" w:type="dxa"/>
              <w:bottom w:w="0" w:type="dxa"/>
            </w:tcMar>
            <w:vAlign w:val="center"/>
          </w:tcPr>
          <w:p w14:paraId="7E3D2A6D" w14:textId="77777777" w:rsidR="0019130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919ED9" w14:textId="77777777" w:rsidR="001913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87990F" w14:textId="77777777" w:rsidR="001913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07D76D" w14:textId="77777777" w:rsidR="0019130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E0378E" w14:textId="77777777" w:rsidR="0019130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C01CF3" w14:textId="77777777" w:rsidR="00191307" w:rsidRDefault="00000000">
            <w:pPr>
              <w:keepNext/>
              <w:keepLines/>
              <w:spacing w:after="0" w:line="240" w:lineRule="auto"/>
              <w:jc w:val="center"/>
            </w:pPr>
            <w:r>
              <w:rPr>
                <w:b/>
                <w:sz w:val="18"/>
              </w:rPr>
              <w:t>Indeks (%)</w:t>
            </w:r>
          </w:p>
        </w:tc>
      </w:tr>
      <w:tr w:rsidR="00191307" w14:paraId="565D2ED5" w14:textId="77777777">
        <w:trPr>
          <w:cantSplit/>
          <w:trHeight w:val="560"/>
        </w:trPr>
        <w:tc>
          <w:tcPr>
            <w:tcW w:w="700" w:type="dxa"/>
            <w:tcMar>
              <w:top w:w="0" w:type="dxa"/>
              <w:bottom w:w="0" w:type="dxa"/>
            </w:tcMar>
            <w:vAlign w:val="center"/>
          </w:tcPr>
          <w:p w14:paraId="4BE73CB1" w14:textId="77777777" w:rsidR="00191307" w:rsidRDefault="00000000">
            <w:pPr>
              <w:keepNext/>
              <w:keepLines/>
              <w:spacing w:after="0" w:line="240" w:lineRule="auto"/>
            </w:pPr>
            <w:r>
              <w:rPr>
                <w:sz w:val="18"/>
              </w:rPr>
              <w:t>3223</w:t>
            </w:r>
          </w:p>
        </w:tc>
        <w:tc>
          <w:tcPr>
            <w:tcW w:w="3180" w:type="dxa"/>
            <w:tcMar>
              <w:top w:w="0" w:type="dxa"/>
              <w:bottom w:w="0" w:type="dxa"/>
            </w:tcMar>
            <w:vAlign w:val="center"/>
          </w:tcPr>
          <w:p w14:paraId="01102327" w14:textId="77777777" w:rsidR="00191307" w:rsidRDefault="00000000">
            <w:pPr>
              <w:keepNext/>
              <w:keepLines/>
              <w:spacing w:after="0" w:line="240" w:lineRule="auto"/>
            </w:pPr>
            <w:r>
              <w:rPr>
                <w:sz w:val="18"/>
              </w:rPr>
              <w:t>Energija</w:t>
            </w:r>
          </w:p>
        </w:tc>
        <w:tc>
          <w:tcPr>
            <w:tcW w:w="700" w:type="dxa"/>
            <w:tcMar>
              <w:top w:w="0" w:type="dxa"/>
              <w:bottom w:w="0" w:type="dxa"/>
            </w:tcMar>
            <w:vAlign w:val="center"/>
          </w:tcPr>
          <w:p w14:paraId="63214244" w14:textId="77777777" w:rsidR="00191307" w:rsidRDefault="00000000">
            <w:pPr>
              <w:keepNext/>
              <w:keepLines/>
              <w:spacing w:after="0" w:line="240" w:lineRule="auto"/>
            </w:pPr>
            <w:r>
              <w:rPr>
                <w:sz w:val="18"/>
              </w:rPr>
              <w:t>3223</w:t>
            </w:r>
          </w:p>
        </w:tc>
        <w:tc>
          <w:tcPr>
            <w:tcW w:w="1860" w:type="dxa"/>
            <w:tcMar>
              <w:top w:w="0" w:type="dxa"/>
              <w:bottom w:w="0" w:type="dxa"/>
            </w:tcMar>
            <w:vAlign w:val="center"/>
          </w:tcPr>
          <w:p w14:paraId="0DF82644" w14:textId="77777777" w:rsidR="00191307" w:rsidRDefault="00000000">
            <w:pPr>
              <w:keepNext/>
              <w:keepLines/>
              <w:spacing w:after="0" w:line="240" w:lineRule="auto"/>
              <w:jc w:val="right"/>
            </w:pPr>
            <w:r>
              <w:rPr>
                <w:sz w:val="18"/>
              </w:rPr>
              <w:t>8.247,54</w:t>
            </w:r>
          </w:p>
        </w:tc>
        <w:tc>
          <w:tcPr>
            <w:tcW w:w="1860" w:type="dxa"/>
            <w:tcMar>
              <w:top w:w="0" w:type="dxa"/>
              <w:bottom w:w="0" w:type="dxa"/>
            </w:tcMar>
            <w:vAlign w:val="center"/>
          </w:tcPr>
          <w:p w14:paraId="03E0AB70" w14:textId="77777777" w:rsidR="00191307" w:rsidRDefault="00000000">
            <w:pPr>
              <w:keepNext/>
              <w:keepLines/>
              <w:spacing w:after="0" w:line="240" w:lineRule="auto"/>
              <w:jc w:val="right"/>
            </w:pPr>
            <w:r>
              <w:rPr>
                <w:sz w:val="18"/>
              </w:rPr>
              <w:t>13.447,07</w:t>
            </w:r>
          </w:p>
        </w:tc>
        <w:tc>
          <w:tcPr>
            <w:tcW w:w="700" w:type="dxa"/>
            <w:tcMar>
              <w:top w:w="0" w:type="dxa"/>
              <w:bottom w:w="0" w:type="dxa"/>
            </w:tcMar>
            <w:vAlign w:val="center"/>
          </w:tcPr>
          <w:p w14:paraId="5D1DAC05" w14:textId="77777777" w:rsidR="00191307" w:rsidRDefault="00000000">
            <w:pPr>
              <w:keepNext/>
              <w:keepLines/>
              <w:spacing w:after="0" w:line="240" w:lineRule="auto"/>
              <w:jc w:val="right"/>
            </w:pPr>
            <w:r>
              <w:rPr>
                <w:sz w:val="18"/>
              </w:rPr>
              <w:t>163,0</w:t>
            </w:r>
          </w:p>
        </w:tc>
      </w:tr>
    </w:tbl>
    <w:p w14:paraId="4FDA7440" w14:textId="77777777" w:rsidR="00191307" w:rsidRDefault="00191307">
      <w:pPr>
        <w:spacing w:after="0"/>
      </w:pPr>
    </w:p>
    <w:p w14:paraId="0AAA910C" w14:textId="77777777" w:rsidR="00191307" w:rsidRDefault="00000000">
      <w:r>
        <w:t>Rashodi za energiju bilježe povećanje za 63% zbog općenito velikog povećanja cijene plina i struje.</w:t>
      </w:r>
    </w:p>
    <w:p w14:paraId="4C8B2C03" w14:textId="77777777" w:rsidR="00191307" w:rsidRDefault="00191307"/>
    <w:p w14:paraId="122440D7" w14:textId="77777777" w:rsidR="00191307"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91307" w14:paraId="73CEA73B" w14:textId="77777777">
        <w:trPr>
          <w:cantSplit/>
        </w:trPr>
        <w:tc>
          <w:tcPr>
            <w:tcW w:w="700" w:type="dxa"/>
            <w:shd w:val="clear" w:color="auto" w:fill="E7F0F9"/>
            <w:tcMar>
              <w:top w:w="0" w:type="dxa"/>
              <w:bottom w:w="0" w:type="dxa"/>
            </w:tcMar>
            <w:vAlign w:val="center"/>
          </w:tcPr>
          <w:p w14:paraId="13D8321A" w14:textId="77777777" w:rsidR="0019130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06D98C" w14:textId="77777777" w:rsidR="001913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D4C259" w14:textId="77777777" w:rsidR="001913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30BF27" w14:textId="77777777" w:rsidR="0019130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220772" w14:textId="77777777" w:rsidR="0019130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8476CF" w14:textId="77777777" w:rsidR="00191307" w:rsidRDefault="00000000">
            <w:pPr>
              <w:keepNext/>
              <w:keepLines/>
              <w:spacing w:after="0" w:line="240" w:lineRule="auto"/>
              <w:jc w:val="center"/>
            </w:pPr>
            <w:r>
              <w:rPr>
                <w:b/>
                <w:sz w:val="18"/>
              </w:rPr>
              <w:t>Indeks (%)</w:t>
            </w:r>
          </w:p>
        </w:tc>
      </w:tr>
      <w:tr w:rsidR="00191307" w14:paraId="3AD07783" w14:textId="77777777">
        <w:trPr>
          <w:cantSplit/>
          <w:trHeight w:val="560"/>
        </w:trPr>
        <w:tc>
          <w:tcPr>
            <w:tcW w:w="700" w:type="dxa"/>
            <w:tcMar>
              <w:top w:w="0" w:type="dxa"/>
              <w:bottom w:w="0" w:type="dxa"/>
            </w:tcMar>
            <w:vAlign w:val="center"/>
          </w:tcPr>
          <w:p w14:paraId="59F27FF0" w14:textId="77777777" w:rsidR="00191307" w:rsidRDefault="00000000">
            <w:pPr>
              <w:keepNext/>
              <w:keepLines/>
              <w:spacing w:after="0" w:line="240" w:lineRule="auto"/>
            </w:pPr>
            <w:r>
              <w:rPr>
                <w:sz w:val="18"/>
              </w:rPr>
              <w:t>3224</w:t>
            </w:r>
          </w:p>
        </w:tc>
        <w:tc>
          <w:tcPr>
            <w:tcW w:w="3180" w:type="dxa"/>
            <w:tcMar>
              <w:top w:w="0" w:type="dxa"/>
              <w:bottom w:w="0" w:type="dxa"/>
            </w:tcMar>
            <w:vAlign w:val="center"/>
          </w:tcPr>
          <w:p w14:paraId="4722FD9E" w14:textId="77777777" w:rsidR="00191307" w:rsidRDefault="00000000">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246871AA" w14:textId="77777777" w:rsidR="00191307" w:rsidRDefault="00000000">
            <w:pPr>
              <w:keepNext/>
              <w:keepLines/>
              <w:spacing w:after="0" w:line="240" w:lineRule="auto"/>
            </w:pPr>
            <w:r>
              <w:rPr>
                <w:sz w:val="18"/>
              </w:rPr>
              <w:t>3224</w:t>
            </w:r>
          </w:p>
        </w:tc>
        <w:tc>
          <w:tcPr>
            <w:tcW w:w="1860" w:type="dxa"/>
            <w:tcMar>
              <w:top w:w="0" w:type="dxa"/>
              <w:bottom w:w="0" w:type="dxa"/>
            </w:tcMar>
            <w:vAlign w:val="center"/>
          </w:tcPr>
          <w:p w14:paraId="55DD4360" w14:textId="77777777" w:rsidR="00191307" w:rsidRDefault="00000000">
            <w:pPr>
              <w:keepNext/>
              <w:keepLines/>
              <w:spacing w:after="0" w:line="240" w:lineRule="auto"/>
              <w:jc w:val="right"/>
            </w:pPr>
            <w:r>
              <w:rPr>
                <w:sz w:val="18"/>
              </w:rPr>
              <w:t>873,44</w:t>
            </w:r>
          </w:p>
        </w:tc>
        <w:tc>
          <w:tcPr>
            <w:tcW w:w="1860" w:type="dxa"/>
            <w:tcMar>
              <w:top w:w="0" w:type="dxa"/>
              <w:bottom w:w="0" w:type="dxa"/>
            </w:tcMar>
            <w:vAlign w:val="center"/>
          </w:tcPr>
          <w:p w14:paraId="246E91B1" w14:textId="77777777" w:rsidR="00191307" w:rsidRDefault="00000000">
            <w:pPr>
              <w:keepNext/>
              <w:keepLines/>
              <w:spacing w:after="0" w:line="240" w:lineRule="auto"/>
              <w:jc w:val="right"/>
            </w:pPr>
            <w:r>
              <w:rPr>
                <w:sz w:val="18"/>
              </w:rPr>
              <w:t>4.414,51</w:t>
            </w:r>
          </w:p>
        </w:tc>
        <w:tc>
          <w:tcPr>
            <w:tcW w:w="700" w:type="dxa"/>
            <w:tcMar>
              <w:top w:w="0" w:type="dxa"/>
              <w:bottom w:w="0" w:type="dxa"/>
            </w:tcMar>
            <w:vAlign w:val="center"/>
          </w:tcPr>
          <w:p w14:paraId="40D808A5" w14:textId="77777777" w:rsidR="00191307" w:rsidRDefault="00000000">
            <w:pPr>
              <w:keepNext/>
              <w:keepLines/>
              <w:spacing w:after="0" w:line="240" w:lineRule="auto"/>
              <w:jc w:val="right"/>
            </w:pPr>
            <w:r>
              <w:rPr>
                <w:sz w:val="18"/>
              </w:rPr>
              <w:t>505,4</w:t>
            </w:r>
          </w:p>
        </w:tc>
      </w:tr>
    </w:tbl>
    <w:p w14:paraId="6A85A0B3" w14:textId="77777777" w:rsidR="00191307" w:rsidRDefault="00191307">
      <w:pPr>
        <w:spacing w:after="0"/>
      </w:pPr>
    </w:p>
    <w:p w14:paraId="2372D124" w14:textId="77777777" w:rsidR="00191307" w:rsidRDefault="00000000">
      <w:r>
        <w:t xml:space="preserve">Rashodi za materijal i dijelovi za tekuće i investicijsko održavanje bilježe poveći porast u odnosu na prošlu godinu, tu se ubrajaju rashodi za materijal koji domar koristi za održavanje škole, a ponajviše rashodi koji su bili utrošeni za pročišćavanje sustava vode poradi pojave </w:t>
      </w:r>
      <w:proofErr w:type="spellStart"/>
      <w:r>
        <w:t>legionele</w:t>
      </w:r>
      <w:proofErr w:type="spellEnd"/>
      <w:r>
        <w:t xml:space="preserve"> i popravaka dotrajalih sanitarnih čvorova.</w:t>
      </w:r>
    </w:p>
    <w:p w14:paraId="06CE0AF4" w14:textId="77777777" w:rsidR="00191307" w:rsidRDefault="00191307"/>
    <w:p w14:paraId="2986E0F3" w14:textId="77777777" w:rsidR="00191307"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91307" w14:paraId="04CAB42D" w14:textId="77777777">
        <w:trPr>
          <w:cantSplit/>
        </w:trPr>
        <w:tc>
          <w:tcPr>
            <w:tcW w:w="700" w:type="dxa"/>
            <w:shd w:val="clear" w:color="auto" w:fill="E7F0F9"/>
            <w:tcMar>
              <w:top w:w="0" w:type="dxa"/>
              <w:bottom w:w="0" w:type="dxa"/>
            </w:tcMar>
            <w:vAlign w:val="center"/>
          </w:tcPr>
          <w:p w14:paraId="3670877F" w14:textId="77777777" w:rsidR="0019130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0AD5FA" w14:textId="77777777" w:rsidR="001913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BF8C32" w14:textId="77777777" w:rsidR="001913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7232BB" w14:textId="77777777" w:rsidR="0019130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10FE3B" w14:textId="77777777" w:rsidR="0019130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F61685" w14:textId="77777777" w:rsidR="00191307" w:rsidRDefault="00000000">
            <w:pPr>
              <w:keepNext/>
              <w:keepLines/>
              <w:spacing w:after="0" w:line="240" w:lineRule="auto"/>
              <w:jc w:val="center"/>
            </w:pPr>
            <w:r>
              <w:rPr>
                <w:b/>
                <w:sz w:val="18"/>
              </w:rPr>
              <w:t>Indeks (%)</w:t>
            </w:r>
          </w:p>
        </w:tc>
      </w:tr>
      <w:tr w:rsidR="00191307" w14:paraId="75A79783" w14:textId="77777777">
        <w:trPr>
          <w:cantSplit/>
          <w:trHeight w:val="560"/>
        </w:trPr>
        <w:tc>
          <w:tcPr>
            <w:tcW w:w="700" w:type="dxa"/>
            <w:tcMar>
              <w:top w:w="0" w:type="dxa"/>
              <w:bottom w:w="0" w:type="dxa"/>
            </w:tcMar>
            <w:vAlign w:val="center"/>
          </w:tcPr>
          <w:p w14:paraId="6F6EDD3D" w14:textId="77777777" w:rsidR="00191307" w:rsidRDefault="00000000">
            <w:pPr>
              <w:keepNext/>
              <w:keepLines/>
              <w:spacing w:after="0" w:line="240" w:lineRule="auto"/>
            </w:pPr>
            <w:r>
              <w:rPr>
                <w:sz w:val="18"/>
              </w:rPr>
              <w:t>3225</w:t>
            </w:r>
          </w:p>
        </w:tc>
        <w:tc>
          <w:tcPr>
            <w:tcW w:w="3180" w:type="dxa"/>
            <w:tcMar>
              <w:top w:w="0" w:type="dxa"/>
              <w:bottom w:w="0" w:type="dxa"/>
            </w:tcMar>
            <w:vAlign w:val="center"/>
          </w:tcPr>
          <w:p w14:paraId="0B2A6486" w14:textId="77777777" w:rsidR="00191307" w:rsidRDefault="00000000">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14:paraId="745F29CA" w14:textId="77777777" w:rsidR="00191307" w:rsidRDefault="00000000">
            <w:pPr>
              <w:keepNext/>
              <w:keepLines/>
              <w:spacing w:after="0" w:line="240" w:lineRule="auto"/>
            </w:pPr>
            <w:r>
              <w:rPr>
                <w:sz w:val="18"/>
              </w:rPr>
              <w:t>3225</w:t>
            </w:r>
          </w:p>
        </w:tc>
        <w:tc>
          <w:tcPr>
            <w:tcW w:w="1860" w:type="dxa"/>
            <w:tcMar>
              <w:top w:w="0" w:type="dxa"/>
              <w:bottom w:w="0" w:type="dxa"/>
            </w:tcMar>
            <w:vAlign w:val="center"/>
          </w:tcPr>
          <w:p w14:paraId="01D324AB" w14:textId="77777777" w:rsidR="00191307" w:rsidRDefault="00000000">
            <w:pPr>
              <w:keepNext/>
              <w:keepLines/>
              <w:spacing w:after="0" w:line="240" w:lineRule="auto"/>
              <w:jc w:val="right"/>
            </w:pPr>
            <w:r>
              <w:rPr>
                <w:sz w:val="18"/>
              </w:rPr>
              <w:t>1.657,11</w:t>
            </w:r>
          </w:p>
        </w:tc>
        <w:tc>
          <w:tcPr>
            <w:tcW w:w="1860" w:type="dxa"/>
            <w:tcMar>
              <w:top w:w="0" w:type="dxa"/>
              <w:bottom w:w="0" w:type="dxa"/>
            </w:tcMar>
            <w:vAlign w:val="center"/>
          </w:tcPr>
          <w:p w14:paraId="1C327862" w14:textId="77777777" w:rsidR="00191307" w:rsidRDefault="00000000">
            <w:pPr>
              <w:keepNext/>
              <w:keepLines/>
              <w:spacing w:after="0" w:line="240" w:lineRule="auto"/>
              <w:jc w:val="right"/>
            </w:pPr>
            <w:r>
              <w:rPr>
                <w:sz w:val="18"/>
              </w:rPr>
              <w:t>3.538,59</w:t>
            </w:r>
          </w:p>
        </w:tc>
        <w:tc>
          <w:tcPr>
            <w:tcW w:w="700" w:type="dxa"/>
            <w:tcMar>
              <w:top w:w="0" w:type="dxa"/>
              <w:bottom w:w="0" w:type="dxa"/>
            </w:tcMar>
            <w:vAlign w:val="center"/>
          </w:tcPr>
          <w:p w14:paraId="57410D49" w14:textId="77777777" w:rsidR="00191307" w:rsidRDefault="00000000">
            <w:pPr>
              <w:keepNext/>
              <w:keepLines/>
              <w:spacing w:after="0" w:line="240" w:lineRule="auto"/>
              <w:jc w:val="right"/>
            </w:pPr>
            <w:r>
              <w:rPr>
                <w:sz w:val="18"/>
              </w:rPr>
              <w:t>213,5</w:t>
            </w:r>
          </w:p>
        </w:tc>
      </w:tr>
    </w:tbl>
    <w:p w14:paraId="396C6F4E" w14:textId="77777777" w:rsidR="00191307" w:rsidRDefault="00191307">
      <w:pPr>
        <w:spacing w:after="0"/>
      </w:pPr>
    </w:p>
    <w:p w14:paraId="0FF6E0C6" w14:textId="77777777" w:rsidR="00191307" w:rsidRDefault="00000000">
      <w:r>
        <w:t>Rashodi za sitni inventar bilježe povećanje u odnosu na prethodnu godinu za 113,5 % radi nabave uređaja za održavanje okoliša oko škole, te za nabavu kuhinjskih aparata za opremu kuhinje na prvome katu.</w:t>
      </w:r>
    </w:p>
    <w:p w14:paraId="0D19D2D1" w14:textId="77777777" w:rsidR="00191307" w:rsidRDefault="00191307"/>
    <w:p w14:paraId="32B948F5" w14:textId="77777777" w:rsidR="00191307"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91307" w14:paraId="2DE06278" w14:textId="77777777">
        <w:trPr>
          <w:cantSplit/>
        </w:trPr>
        <w:tc>
          <w:tcPr>
            <w:tcW w:w="700" w:type="dxa"/>
            <w:shd w:val="clear" w:color="auto" w:fill="E7F0F9"/>
            <w:tcMar>
              <w:top w:w="0" w:type="dxa"/>
              <w:bottom w:w="0" w:type="dxa"/>
            </w:tcMar>
            <w:vAlign w:val="center"/>
          </w:tcPr>
          <w:p w14:paraId="0930BF37" w14:textId="77777777" w:rsidR="0019130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245D26" w14:textId="77777777" w:rsidR="001913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164F2D" w14:textId="77777777" w:rsidR="001913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E8390E" w14:textId="77777777" w:rsidR="0019130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E1A168" w14:textId="77777777" w:rsidR="0019130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F9EC06" w14:textId="77777777" w:rsidR="00191307" w:rsidRDefault="00000000">
            <w:pPr>
              <w:keepNext/>
              <w:keepLines/>
              <w:spacing w:after="0" w:line="240" w:lineRule="auto"/>
              <w:jc w:val="center"/>
            </w:pPr>
            <w:r>
              <w:rPr>
                <w:b/>
                <w:sz w:val="18"/>
              </w:rPr>
              <w:t>Indeks (%)</w:t>
            </w:r>
          </w:p>
        </w:tc>
      </w:tr>
      <w:tr w:rsidR="00191307" w14:paraId="373E8E0A" w14:textId="77777777">
        <w:trPr>
          <w:cantSplit/>
          <w:trHeight w:val="560"/>
        </w:trPr>
        <w:tc>
          <w:tcPr>
            <w:tcW w:w="700" w:type="dxa"/>
            <w:tcMar>
              <w:top w:w="0" w:type="dxa"/>
              <w:bottom w:w="0" w:type="dxa"/>
            </w:tcMar>
            <w:vAlign w:val="center"/>
          </w:tcPr>
          <w:p w14:paraId="142E6997" w14:textId="77777777" w:rsidR="00191307" w:rsidRDefault="00000000">
            <w:pPr>
              <w:keepNext/>
              <w:keepLines/>
              <w:spacing w:after="0" w:line="240" w:lineRule="auto"/>
            </w:pPr>
            <w:r>
              <w:rPr>
                <w:sz w:val="18"/>
              </w:rPr>
              <w:t>3232</w:t>
            </w:r>
          </w:p>
        </w:tc>
        <w:tc>
          <w:tcPr>
            <w:tcW w:w="3180" w:type="dxa"/>
            <w:tcMar>
              <w:top w:w="0" w:type="dxa"/>
              <w:bottom w:w="0" w:type="dxa"/>
            </w:tcMar>
            <w:vAlign w:val="center"/>
          </w:tcPr>
          <w:p w14:paraId="53959115" w14:textId="77777777" w:rsidR="00191307"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2BEBBA8E" w14:textId="77777777" w:rsidR="00191307" w:rsidRDefault="00000000">
            <w:pPr>
              <w:keepNext/>
              <w:keepLines/>
              <w:spacing w:after="0" w:line="240" w:lineRule="auto"/>
            </w:pPr>
            <w:r>
              <w:rPr>
                <w:sz w:val="18"/>
              </w:rPr>
              <w:t>3232</w:t>
            </w:r>
          </w:p>
        </w:tc>
        <w:tc>
          <w:tcPr>
            <w:tcW w:w="1860" w:type="dxa"/>
            <w:tcMar>
              <w:top w:w="0" w:type="dxa"/>
              <w:bottom w:w="0" w:type="dxa"/>
            </w:tcMar>
            <w:vAlign w:val="center"/>
          </w:tcPr>
          <w:p w14:paraId="0D60B0F5" w14:textId="77777777" w:rsidR="00191307" w:rsidRDefault="00000000">
            <w:pPr>
              <w:keepNext/>
              <w:keepLines/>
              <w:spacing w:after="0" w:line="240" w:lineRule="auto"/>
              <w:jc w:val="right"/>
            </w:pPr>
            <w:r>
              <w:rPr>
                <w:sz w:val="18"/>
              </w:rPr>
              <w:t>1.529,59</w:t>
            </w:r>
          </w:p>
        </w:tc>
        <w:tc>
          <w:tcPr>
            <w:tcW w:w="1860" w:type="dxa"/>
            <w:tcMar>
              <w:top w:w="0" w:type="dxa"/>
              <w:bottom w:w="0" w:type="dxa"/>
            </w:tcMar>
            <w:vAlign w:val="center"/>
          </w:tcPr>
          <w:p w14:paraId="51715289" w14:textId="77777777" w:rsidR="00191307" w:rsidRDefault="00000000">
            <w:pPr>
              <w:keepNext/>
              <w:keepLines/>
              <w:spacing w:after="0" w:line="240" w:lineRule="auto"/>
              <w:jc w:val="right"/>
            </w:pPr>
            <w:r>
              <w:rPr>
                <w:sz w:val="18"/>
              </w:rPr>
              <w:t>5.222,94</w:t>
            </w:r>
          </w:p>
        </w:tc>
        <w:tc>
          <w:tcPr>
            <w:tcW w:w="700" w:type="dxa"/>
            <w:tcMar>
              <w:top w:w="0" w:type="dxa"/>
              <w:bottom w:w="0" w:type="dxa"/>
            </w:tcMar>
            <w:vAlign w:val="center"/>
          </w:tcPr>
          <w:p w14:paraId="03784011" w14:textId="77777777" w:rsidR="00191307" w:rsidRDefault="00000000">
            <w:pPr>
              <w:keepNext/>
              <w:keepLines/>
              <w:spacing w:after="0" w:line="240" w:lineRule="auto"/>
              <w:jc w:val="right"/>
            </w:pPr>
            <w:r>
              <w:rPr>
                <w:sz w:val="18"/>
              </w:rPr>
              <w:t>341,5</w:t>
            </w:r>
          </w:p>
        </w:tc>
      </w:tr>
    </w:tbl>
    <w:p w14:paraId="75DBE282" w14:textId="77777777" w:rsidR="00191307" w:rsidRDefault="00191307">
      <w:pPr>
        <w:spacing w:after="0"/>
      </w:pPr>
    </w:p>
    <w:p w14:paraId="0F8D7D01" w14:textId="77777777" w:rsidR="00191307" w:rsidRDefault="00000000">
      <w:r>
        <w:t xml:space="preserve">Rashodi za usluge tekućeg i investicijskog održavanja bilježe znatan porast u odnosu na prethodnu godinu tog razdoblja, poradi korištenja usluga pročišćavanja vodovodne mreže radi pozitivnog nalaza na </w:t>
      </w:r>
      <w:proofErr w:type="spellStart"/>
      <w:r>
        <w:t>legionelu</w:t>
      </w:r>
      <w:proofErr w:type="spellEnd"/>
      <w:r>
        <w:t>, te servisnih radova na plinskom postrojenju. Tu je i rashod za popravak jednog kombija poradi kvara klime i samog redovnog servisa kombija.</w:t>
      </w:r>
    </w:p>
    <w:p w14:paraId="420158DE" w14:textId="77777777" w:rsidR="00191307" w:rsidRDefault="00191307"/>
    <w:p w14:paraId="48BB1DC1" w14:textId="77777777" w:rsidR="00191307"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91307" w14:paraId="41AA1E33" w14:textId="77777777">
        <w:trPr>
          <w:cantSplit/>
        </w:trPr>
        <w:tc>
          <w:tcPr>
            <w:tcW w:w="700" w:type="dxa"/>
            <w:shd w:val="clear" w:color="auto" w:fill="E7F0F9"/>
            <w:tcMar>
              <w:top w:w="0" w:type="dxa"/>
              <w:bottom w:w="0" w:type="dxa"/>
            </w:tcMar>
            <w:vAlign w:val="center"/>
          </w:tcPr>
          <w:p w14:paraId="4D715E89" w14:textId="77777777" w:rsidR="0019130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449D6A" w14:textId="77777777" w:rsidR="001913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57B7B7" w14:textId="77777777" w:rsidR="001913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2F908B" w14:textId="77777777" w:rsidR="0019130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C8ECA8" w14:textId="77777777" w:rsidR="0019130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2B9970" w14:textId="77777777" w:rsidR="00191307" w:rsidRDefault="00000000">
            <w:pPr>
              <w:keepNext/>
              <w:keepLines/>
              <w:spacing w:after="0" w:line="240" w:lineRule="auto"/>
              <w:jc w:val="center"/>
            </w:pPr>
            <w:r>
              <w:rPr>
                <w:b/>
                <w:sz w:val="18"/>
              </w:rPr>
              <w:t>Indeks (%)</w:t>
            </w:r>
          </w:p>
        </w:tc>
      </w:tr>
      <w:tr w:rsidR="00191307" w14:paraId="0BD7147A" w14:textId="77777777">
        <w:trPr>
          <w:cantSplit/>
          <w:trHeight w:val="560"/>
        </w:trPr>
        <w:tc>
          <w:tcPr>
            <w:tcW w:w="700" w:type="dxa"/>
            <w:tcMar>
              <w:top w:w="0" w:type="dxa"/>
              <w:bottom w:w="0" w:type="dxa"/>
            </w:tcMar>
            <w:vAlign w:val="center"/>
          </w:tcPr>
          <w:p w14:paraId="3655736E" w14:textId="77777777" w:rsidR="00191307" w:rsidRDefault="00000000">
            <w:pPr>
              <w:keepNext/>
              <w:keepLines/>
              <w:spacing w:after="0" w:line="240" w:lineRule="auto"/>
            </w:pPr>
            <w:r>
              <w:rPr>
                <w:sz w:val="18"/>
              </w:rPr>
              <w:t>3234</w:t>
            </w:r>
          </w:p>
        </w:tc>
        <w:tc>
          <w:tcPr>
            <w:tcW w:w="3180" w:type="dxa"/>
            <w:tcMar>
              <w:top w:w="0" w:type="dxa"/>
              <w:bottom w:w="0" w:type="dxa"/>
            </w:tcMar>
            <w:vAlign w:val="center"/>
          </w:tcPr>
          <w:p w14:paraId="073A01D4" w14:textId="77777777" w:rsidR="00191307" w:rsidRDefault="00000000">
            <w:pPr>
              <w:keepNext/>
              <w:keepLines/>
              <w:spacing w:after="0" w:line="240" w:lineRule="auto"/>
            </w:pPr>
            <w:r>
              <w:rPr>
                <w:sz w:val="18"/>
              </w:rPr>
              <w:t>Komunalne usluge</w:t>
            </w:r>
          </w:p>
        </w:tc>
        <w:tc>
          <w:tcPr>
            <w:tcW w:w="700" w:type="dxa"/>
            <w:tcMar>
              <w:top w:w="0" w:type="dxa"/>
              <w:bottom w:w="0" w:type="dxa"/>
            </w:tcMar>
            <w:vAlign w:val="center"/>
          </w:tcPr>
          <w:p w14:paraId="5764E4B3" w14:textId="77777777" w:rsidR="00191307" w:rsidRDefault="00000000">
            <w:pPr>
              <w:keepNext/>
              <w:keepLines/>
              <w:spacing w:after="0" w:line="240" w:lineRule="auto"/>
            </w:pPr>
            <w:r>
              <w:rPr>
                <w:sz w:val="18"/>
              </w:rPr>
              <w:t>3234</w:t>
            </w:r>
          </w:p>
        </w:tc>
        <w:tc>
          <w:tcPr>
            <w:tcW w:w="1860" w:type="dxa"/>
            <w:tcMar>
              <w:top w:w="0" w:type="dxa"/>
              <w:bottom w:w="0" w:type="dxa"/>
            </w:tcMar>
            <w:vAlign w:val="center"/>
          </w:tcPr>
          <w:p w14:paraId="54A69A31" w14:textId="77777777" w:rsidR="00191307" w:rsidRDefault="00000000">
            <w:pPr>
              <w:keepNext/>
              <w:keepLines/>
              <w:spacing w:after="0" w:line="240" w:lineRule="auto"/>
              <w:jc w:val="right"/>
            </w:pPr>
            <w:r>
              <w:rPr>
                <w:sz w:val="18"/>
              </w:rPr>
              <w:t>1.687,28</w:t>
            </w:r>
          </w:p>
        </w:tc>
        <w:tc>
          <w:tcPr>
            <w:tcW w:w="1860" w:type="dxa"/>
            <w:tcMar>
              <w:top w:w="0" w:type="dxa"/>
              <w:bottom w:w="0" w:type="dxa"/>
            </w:tcMar>
            <w:vAlign w:val="center"/>
          </w:tcPr>
          <w:p w14:paraId="16762A9C" w14:textId="77777777" w:rsidR="00191307" w:rsidRDefault="00000000">
            <w:pPr>
              <w:keepNext/>
              <w:keepLines/>
              <w:spacing w:after="0" w:line="240" w:lineRule="auto"/>
              <w:jc w:val="right"/>
            </w:pPr>
            <w:r>
              <w:rPr>
                <w:sz w:val="18"/>
              </w:rPr>
              <w:t>2.151,63</w:t>
            </w:r>
          </w:p>
        </w:tc>
        <w:tc>
          <w:tcPr>
            <w:tcW w:w="700" w:type="dxa"/>
            <w:tcMar>
              <w:top w:w="0" w:type="dxa"/>
              <w:bottom w:w="0" w:type="dxa"/>
            </w:tcMar>
            <w:vAlign w:val="center"/>
          </w:tcPr>
          <w:p w14:paraId="4E4D7039" w14:textId="77777777" w:rsidR="00191307" w:rsidRDefault="00000000">
            <w:pPr>
              <w:keepNext/>
              <w:keepLines/>
              <w:spacing w:after="0" w:line="240" w:lineRule="auto"/>
              <w:jc w:val="right"/>
            </w:pPr>
            <w:r>
              <w:rPr>
                <w:sz w:val="18"/>
              </w:rPr>
              <w:t>127,5</w:t>
            </w:r>
          </w:p>
        </w:tc>
      </w:tr>
    </w:tbl>
    <w:p w14:paraId="553930A9" w14:textId="77777777" w:rsidR="00191307" w:rsidRDefault="00191307">
      <w:pPr>
        <w:spacing w:after="0"/>
      </w:pPr>
    </w:p>
    <w:p w14:paraId="0E0CA0E9" w14:textId="77777777" w:rsidR="00191307" w:rsidRDefault="00000000">
      <w:r>
        <w:t>Rashodi za komunalne usluge bilježe povećanje za 27,5% poradi porasta cijene usluge za komunalnu naknadu.</w:t>
      </w:r>
    </w:p>
    <w:p w14:paraId="1585B222" w14:textId="77777777" w:rsidR="00191307" w:rsidRDefault="00191307"/>
    <w:p w14:paraId="450F91A0" w14:textId="77777777" w:rsidR="00191307"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91307" w14:paraId="67E4CD5D" w14:textId="77777777">
        <w:trPr>
          <w:cantSplit/>
        </w:trPr>
        <w:tc>
          <w:tcPr>
            <w:tcW w:w="700" w:type="dxa"/>
            <w:shd w:val="clear" w:color="auto" w:fill="E7F0F9"/>
            <w:tcMar>
              <w:top w:w="0" w:type="dxa"/>
              <w:bottom w:w="0" w:type="dxa"/>
            </w:tcMar>
            <w:vAlign w:val="center"/>
          </w:tcPr>
          <w:p w14:paraId="015287B6" w14:textId="77777777" w:rsidR="0019130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2D09C3" w14:textId="77777777" w:rsidR="001913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DC63F9" w14:textId="77777777" w:rsidR="001913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F3F623" w14:textId="77777777" w:rsidR="0019130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367CC5" w14:textId="77777777" w:rsidR="0019130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5D8C86" w14:textId="77777777" w:rsidR="00191307" w:rsidRDefault="00000000">
            <w:pPr>
              <w:keepNext/>
              <w:keepLines/>
              <w:spacing w:after="0" w:line="240" w:lineRule="auto"/>
              <w:jc w:val="center"/>
            </w:pPr>
            <w:r>
              <w:rPr>
                <w:b/>
                <w:sz w:val="18"/>
              </w:rPr>
              <w:t>Indeks (%)</w:t>
            </w:r>
          </w:p>
        </w:tc>
      </w:tr>
      <w:tr w:rsidR="00191307" w14:paraId="2E078065" w14:textId="77777777">
        <w:trPr>
          <w:cantSplit/>
          <w:trHeight w:val="560"/>
        </w:trPr>
        <w:tc>
          <w:tcPr>
            <w:tcW w:w="700" w:type="dxa"/>
            <w:tcMar>
              <w:top w:w="0" w:type="dxa"/>
              <w:bottom w:w="0" w:type="dxa"/>
            </w:tcMar>
            <w:vAlign w:val="center"/>
          </w:tcPr>
          <w:p w14:paraId="4FA75D13" w14:textId="77777777" w:rsidR="00191307" w:rsidRDefault="00000000">
            <w:pPr>
              <w:keepNext/>
              <w:keepLines/>
              <w:spacing w:after="0" w:line="240" w:lineRule="auto"/>
            </w:pPr>
            <w:r>
              <w:rPr>
                <w:sz w:val="18"/>
              </w:rPr>
              <w:t>3236</w:t>
            </w:r>
          </w:p>
        </w:tc>
        <w:tc>
          <w:tcPr>
            <w:tcW w:w="3180" w:type="dxa"/>
            <w:tcMar>
              <w:top w:w="0" w:type="dxa"/>
              <w:bottom w:w="0" w:type="dxa"/>
            </w:tcMar>
            <w:vAlign w:val="center"/>
          </w:tcPr>
          <w:p w14:paraId="62AA7825" w14:textId="77777777" w:rsidR="00191307"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40CFFFE7" w14:textId="77777777" w:rsidR="00191307" w:rsidRDefault="00000000">
            <w:pPr>
              <w:keepNext/>
              <w:keepLines/>
              <w:spacing w:after="0" w:line="240" w:lineRule="auto"/>
            </w:pPr>
            <w:r>
              <w:rPr>
                <w:sz w:val="18"/>
              </w:rPr>
              <w:t>3236</w:t>
            </w:r>
          </w:p>
        </w:tc>
        <w:tc>
          <w:tcPr>
            <w:tcW w:w="1860" w:type="dxa"/>
            <w:tcMar>
              <w:top w:w="0" w:type="dxa"/>
              <w:bottom w:w="0" w:type="dxa"/>
            </w:tcMar>
            <w:vAlign w:val="center"/>
          </w:tcPr>
          <w:p w14:paraId="0699204E" w14:textId="77777777" w:rsidR="00191307" w:rsidRDefault="00000000">
            <w:pPr>
              <w:keepNext/>
              <w:keepLines/>
              <w:spacing w:after="0" w:line="240" w:lineRule="auto"/>
              <w:jc w:val="right"/>
            </w:pPr>
            <w:r>
              <w:rPr>
                <w:sz w:val="18"/>
              </w:rPr>
              <w:t>3.203,46</w:t>
            </w:r>
          </w:p>
        </w:tc>
        <w:tc>
          <w:tcPr>
            <w:tcW w:w="1860" w:type="dxa"/>
            <w:tcMar>
              <w:top w:w="0" w:type="dxa"/>
              <w:bottom w:w="0" w:type="dxa"/>
            </w:tcMar>
            <w:vAlign w:val="center"/>
          </w:tcPr>
          <w:p w14:paraId="3B790C94" w14:textId="77777777" w:rsidR="00191307" w:rsidRDefault="00000000">
            <w:pPr>
              <w:keepNext/>
              <w:keepLines/>
              <w:spacing w:after="0" w:line="240" w:lineRule="auto"/>
              <w:jc w:val="right"/>
            </w:pPr>
            <w:r>
              <w:rPr>
                <w:sz w:val="18"/>
              </w:rPr>
              <w:t>4.535,70</w:t>
            </w:r>
          </w:p>
        </w:tc>
        <w:tc>
          <w:tcPr>
            <w:tcW w:w="700" w:type="dxa"/>
            <w:tcMar>
              <w:top w:w="0" w:type="dxa"/>
              <w:bottom w:w="0" w:type="dxa"/>
            </w:tcMar>
            <w:vAlign w:val="center"/>
          </w:tcPr>
          <w:p w14:paraId="2DE4651B" w14:textId="77777777" w:rsidR="00191307" w:rsidRDefault="00000000">
            <w:pPr>
              <w:keepNext/>
              <w:keepLines/>
              <w:spacing w:after="0" w:line="240" w:lineRule="auto"/>
              <w:jc w:val="right"/>
            </w:pPr>
            <w:r>
              <w:rPr>
                <w:sz w:val="18"/>
              </w:rPr>
              <w:t>141,6</w:t>
            </w:r>
          </w:p>
        </w:tc>
      </w:tr>
    </w:tbl>
    <w:p w14:paraId="70D57662" w14:textId="77777777" w:rsidR="00191307" w:rsidRDefault="00191307">
      <w:pPr>
        <w:spacing w:after="0"/>
      </w:pPr>
    </w:p>
    <w:p w14:paraId="482B89AF" w14:textId="77777777" w:rsidR="00191307" w:rsidRDefault="00000000">
      <w:r>
        <w:t>Rashodi zdravstvenih usluga bilježe porast od 41,6% zbog većih rashoda za sistematske preglede zaposlenika.</w:t>
      </w:r>
    </w:p>
    <w:p w14:paraId="494DD09F" w14:textId="77777777" w:rsidR="00191307" w:rsidRDefault="00191307"/>
    <w:p w14:paraId="494939A1" w14:textId="77777777" w:rsidR="00191307"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91307" w14:paraId="63B8D40F" w14:textId="77777777">
        <w:trPr>
          <w:cantSplit/>
        </w:trPr>
        <w:tc>
          <w:tcPr>
            <w:tcW w:w="700" w:type="dxa"/>
            <w:shd w:val="clear" w:color="auto" w:fill="E7F0F9"/>
            <w:tcMar>
              <w:top w:w="0" w:type="dxa"/>
              <w:bottom w:w="0" w:type="dxa"/>
            </w:tcMar>
            <w:vAlign w:val="center"/>
          </w:tcPr>
          <w:p w14:paraId="1934B579" w14:textId="77777777" w:rsidR="0019130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22B096" w14:textId="77777777" w:rsidR="001913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DD24DC" w14:textId="77777777" w:rsidR="001913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DBF8DD" w14:textId="77777777" w:rsidR="0019130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E73A88" w14:textId="77777777" w:rsidR="0019130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BD642D" w14:textId="77777777" w:rsidR="00191307" w:rsidRDefault="00000000">
            <w:pPr>
              <w:keepNext/>
              <w:keepLines/>
              <w:spacing w:after="0" w:line="240" w:lineRule="auto"/>
              <w:jc w:val="center"/>
            </w:pPr>
            <w:r>
              <w:rPr>
                <w:b/>
                <w:sz w:val="18"/>
              </w:rPr>
              <w:t>Indeks (%)</w:t>
            </w:r>
          </w:p>
        </w:tc>
      </w:tr>
      <w:tr w:rsidR="00191307" w14:paraId="7746DC1A" w14:textId="77777777">
        <w:trPr>
          <w:cantSplit/>
          <w:trHeight w:val="560"/>
        </w:trPr>
        <w:tc>
          <w:tcPr>
            <w:tcW w:w="700" w:type="dxa"/>
            <w:tcMar>
              <w:top w:w="0" w:type="dxa"/>
              <w:bottom w:w="0" w:type="dxa"/>
            </w:tcMar>
            <w:vAlign w:val="center"/>
          </w:tcPr>
          <w:p w14:paraId="44AC28C1" w14:textId="77777777" w:rsidR="00191307" w:rsidRDefault="00000000">
            <w:pPr>
              <w:keepNext/>
              <w:keepLines/>
              <w:spacing w:after="0" w:line="240" w:lineRule="auto"/>
            </w:pPr>
            <w:r>
              <w:rPr>
                <w:sz w:val="18"/>
              </w:rPr>
              <w:t>3292</w:t>
            </w:r>
          </w:p>
        </w:tc>
        <w:tc>
          <w:tcPr>
            <w:tcW w:w="3180" w:type="dxa"/>
            <w:tcMar>
              <w:top w:w="0" w:type="dxa"/>
              <w:bottom w:w="0" w:type="dxa"/>
            </w:tcMar>
            <w:vAlign w:val="center"/>
          </w:tcPr>
          <w:p w14:paraId="1BA43DC5" w14:textId="77777777" w:rsidR="00191307" w:rsidRDefault="00000000">
            <w:pPr>
              <w:keepNext/>
              <w:keepLines/>
              <w:spacing w:after="0" w:line="240" w:lineRule="auto"/>
            </w:pPr>
            <w:r>
              <w:rPr>
                <w:sz w:val="18"/>
              </w:rPr>
              <w:t>Premije osiguranja</w:t>
            </w:r>
          </w:p>
        </w:tc>
        <w:tc>
          <w:tcPr>
            <w:tcW w:w="700" w:type="dxa"/>
            <w:tcMar>
              <w:top w:w="0" w:type="dxa"/>
              <w:bottom w:w="0" w:type="dxa"/>
            </w:tcMar>
            <w:vAlign w:val="center"/>
          </w:tcPr>
          <w:p w14:paraId="06E27740" w14:textId="77777777" w:rsidR="00191307" w:rsidRDefault="00000000">
            <w:pPr>
              <w:keepNext/>
              <w:keepLines/>
              <w:spacing w:after="0" w:line="240" w:lineRule="auto"/>
            </w:pPr>
            <w:r>
              <w:rPr>
                <w:sz w:val="18"/>
              </w:rPr>
              <w:t>3292</w:t>
            </w:r>
          </w:p>
        </w:tc>
        <w:tc>
          <w:tcPr>
            <w:tcW w:w="1860" w:type="dxa"/>
            <w:tcMar>
              <w:top w:w="0" w:type="dxa"/>
              <w:bottom w:w="0" w:type="dxa"/>
            </w:tcMar>
            <w:vAlign w:val="center"/>
          </w:tcPr>
          <w:p w14:paraId="39058D12" w14:textId="77777777" w:rsidR="00191307" w:rsidRDefault="00000000">
            <w:pPr>
              <w:keepNext/>
              <w:keepLines/>
              <w:spacing w:after="0" w:line="240" w:lineRule="auto"/>
              <w:jc w:val="right"/>
            </w:pPr>
            <w:r>
              <w:rPr>
                <w:sz w:val="18"/>
              </w:rPr>
              <w:t>990,34</w:t>
            </w:r>
          </w:p>
        </w:tc>
        <w:tc>
          <w:tcPr>
            <w:tcW w:w="1860" w:type="dxa"/>
            <w:tcMar>
              <w:top w:w="0" w:type="dxa"/>
              <w:bottom w:w="0" w:type="dxa"/>
            </w:tcMar>
            <w:vAlign w:val="center"/>
          </w:tcPr>
          <w:p w14:paraId="2501B592" w14:textId="77777777" w:rsidR="00191307" w:rsidRDefault="00000000">
            <w:pPr>
              <w:keepNext/>
              <w:keepLines/>
              <w:spacing w:after="0" w:line="240" w:lineRule="auto"/>
              <w:jc w:val="right"/>
            </w:pPr>
            <w:r>
              <w:rPr>
                <w:sz w:val="18"/>
              </w:rPr>
              <w:t>1.152,58</w:t>
            </w:r>
          </w:p>
        </w:tc>
        <w:tc>
          <w:tcPr>
            <w:tcW w:w="700" w:type="dxa"/>
            <w:tcMar>
              <w:top w:w="0" w:type="dxa"/>
              <w:bottom w:w="0" w:type="dxa"/>
            </w:tcMar>
            <w:vAlign w:val="center"/>
          </w:tcPr>
          <w:p w14:paraId="4D9F6733" w14:textId="77777777" w:rsidR="00191307" w:rsidRDefault="00000000">
            <w:pPr>
              <w:keepNext/>
              <w:keepLines/>
              <w:spacing w:after="0" w:line="240" w:lineRule="auto"/>
              <w:jc w:val="right"/>
            </w:pPr>
            <w:r>
              <w:rPr>
                <w:sz w:val="18"/>
              </w:rPr>
              <w:t>116,4</w:t>
            </w:r>
          </w:p>
        </w:tc>
      </w:tr>
    </w:tbl>
    <w:p w14:paraId="7476C3B5" w14:textId="77777777" w:rsidR="00191307" w:rsidRDefault="00191307">
      <w:pPr>
        <w:spacing w:after="0"/>
      </w:pPr>
    </w:p>
    <w:p w14:paraId="0B3EF71C" w14:textId="77777777" w:rsidR="00191307" w:rsidRDefault="00000000">
      <w:r>
        <w:t>Rashodi za premiju osiguranja su blago povećani u odnosu na prethodnu godinu zbog osiguranja vozila, imovine i zaposlenika.</w:t>
      </w:r>
    </w:p>
    <w:p w14:paraId="099AA67F" w14:textId="77777777" w:rsidR="00191307" w:rsidRDefault="00191307"/>
    <w:p w14:paraId="0CF207E4" w14:textId="77777777" w:rsidR="00191307"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91307" w14:paraId="4FD9E134" w14:textId="77777777">
        <w:trPr>
          <w:cantSplit/>
        </w:trPr>
        <w:tc>
          <w:tcPr>
            <w:tcW w:w="700" w:type="dxa"/>
            <w:shd w:val="clear" w:color="auto" w:fill="E7F0F9"/>
            <w:tcMar>
              <w:top w:w="0" w:type="dxa"/>
              <w:bottom w:w="0" w:type="dxa"/>
            </w:tcMar>
            <w:vAlign w:val="center"/>
          </w:tcPr>
          <w:p w14:paraId="3C2580AF" w14:textId="77777777" w:rsidR="0019130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C67EA9" w14:textId="77777777" w:rsidR="001913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F5DF01" w14:textId="77777777" w:rsidR="001913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78F963" w14:textId="77777777" w:rsidR="0019130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042480" w14:textId="77777777" w:rsidR="0019130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F94507" w14:textId="77777777" w:rsidR="00191307" w:rsidRDefault="00000000">
            <w:pPr>
              <w:keepNext/>
              <w:keepLines/>
              <w:spacing w:after="0" w:line="240" w:lineRule="auto"/>
              <w:jc w:val="center"/>
            </w:pPr>
            <w:r>
              <w:rPr>
                <w:b/>
                <w:sz w:val="18"/>
              </w:rPr>
              <w:t>Indeks (%)</w:t>
            </w:r>
          </w:p>
        </w:tc>
      </w:tr>
      <w:tr w:rsidR="00191307" w14:paraId="4CF5ECC7" w14:textId="77777777">
        <w:trPr>
          <w:cantSplit/>
          <w:trHeight w:val="560"/>
        </w:trPr>
        <w:tc>
          <w:tcPr>
            <w:tcW w:w="700" w:type="dxa"/>
            <w:tcMar>
              <w:top w:w="0" w:type="dxa"/>
              <w:bottom w:w="0" w:type="dxa"/>
            </w:tcMar>
            <w:vAlign w:val="center"/>
          </w:tcPr>
          <w:p w14:paraId="74A1628D" w14:textId="77777777" w:rsidR="00191307" w:rsidRDefault="00000000">
            <w:pPr>
              <w:keepNext/>
              <w:keepLines/>
              <w:spacing w:after="0" w:line="240" w:lineRule="auto"/>
            </w:pPr>
            <w:r>
              <w:rPr>
                <w:sz w:val="18"/>
              </w:rPr>
              <w:t>3295</w:t>
            </w:r>
          </w:p>
        </w:tc>
        <w:tc>
          <w:tcPr>
            <w:tcW w:w="3180" w:type="dxa"/>
            <w:tcMar>
              <w:top w:w="0" w:type="dxa"/>
              <w:bottom w:w="0" w:type="dxa"/>
            </w:tcMar>
            <w:vAlign w:val="center"/>
          </w:tcPr>
          <w:p w14:paraId="6E4EB32E" w14:textId="77777777" w:rsidR="00191307" w:rsidRDefault="00000000">
            <w:pPr>
              <w:keepNext/>
              <w:keepLines/>
              <w:spacing w:after="0" w:line="240" w:lineRule="auto"/>
            </w:pPr>
            <w:r>
              <w:rPr>
                <w:sz w:val="18"/>
              </w:rPr>
              <w:t>Pristojbe i naknade</w:t>
            </w:r>
          </w:p>
        </w:tc>
        <w:tc>
          <w:tcPr>
            <w:tcW w:w="700" w:type="dxa"/>
            <w:tcMar>
              <w:top w:w="0" w:type="dxa"/>
              <w:bottom w:w="0" w:type="dxa"/>
            </w:tcMar>
            <w:vAlign w:val="center"/>
          </w:tcPr>
          <w:p w14:paraId="5C3CE492" w14:textId="77777777" w:rsidR="00191307" w:rsidRDefault="00000000">
            <w:pPr>
              <w:keepNext/>
              <w:keepLines/>
              <w:spacing w:after="0" w:line="240" w:lineRule="auto"/>
            </w:pPr>
            <w:r>
              <w:rPr>
                <w:sz w:val="18"/>
              </w:rPr>
              <w:t>3295</w:t>
            </w:r>
          </w:p>
        </w:tc>
        <w:tc>
          <w:tcPr>
            <w:tcW w:w="1860" w:type="dxa"/>
            <w:tcMar>
              <w:top w:w="0" w:type="dxa"/>
              <w:bottom w:w="0" w:type="dxa"/>
            </w:tcMar>
            <w:vAlign w:val="center"/>
          </w:tcPr>
          <w:p w14:paraId="27198E6E" w14:textId="77777777" w:rsidR="00191307" w:rsidRDefault="00000000">
            <w:pPr>
              <w:keepNext/>
              <w:keepLines/>
              <w:spacing w:after="0" w:line="240" w:lineRule="auto"/>
              <w:jc w:val="right"/>
            </w:pPr>
            <w:r>
              <w:rPr>
                <w:sz w:val="18"/>
              </w:rPr>
              <w:t>354,87</w:t>
            </w:r>
          </w:p>
        </w:tc>
        <w:tc>
          <w:tcPr>
            <w:tcW w:w="1860" w:type="dxa"/>
            <w:tcMar>
              <w:top w:w="0" w:type="dxa"/>
              <w:bottom w:w="0" w:type="dxa"/>
            </w:tcMar>
            <w:vAlign w:val="center"/>
          </w:tcPr>
          <w:p w14:paraId="1A79E030" w14:textId="77777777" w:rsidR="00191307" w:rsidRDefault="00000000">
            <w:pPr>
              <w:keepNext/>
              <w:keepLines/>
              <w:spacing w:after="0" w:line="240" w:lineRule="auto"/>
              <w:jc w:val="right"/>
            </w:pPr>
            <w:r>
              <w:rPr>
                <w:sz w:val="18"/>
              </w:rPr>
              <w:t>515,13</w:t>
            </w:r>
          </w:p>
        </w:tc>
        <w:tc>
          <w:tcPr>
            <w:tcW w:w="700" w:type="dxa"/>
            <w:tcMar>
              <w:top w:w="0" w:type="dxa"/>
              <w:bottom w:w="0" w:type="dxa"/>
            </w:tcMar>
            <w:vAlign w:val="center"/>
          </w:tcPr>
          <w:p w14:paraId="509A5D30" w14:textId="77777777" w:rsidR="00191307" w:rsidRDefault="00000000">
            <w:pPr>
              <w:keepNext/>
              <w:keepLines/>
              <w:spacing w:after="0" w:line="240" w:lineRule="auto"/>
              <w:jc w:val="right"/>
            </w:pPr>
            <w:r>
              <w:rPr>
                <w:sz w:val="18"/>
              </w:rPr>
              <w:t>145,2</w:t>
            </w:r>
          </w:p>
        </w:tc>
      </w:tr>
    </w:tbl>
    <w:p w14:paraId="11896F2E" w14:textId="77777777" w:rsidR="00191307" w:rsidRDefault="00191307">
      <w:pPr>
        <w:spacing w:after="0"/>
      </w:pPr>
    </w:p>
    <w:p w14:paraId="607AE5DD" w14:textId="77777777" w:rsidR="00191307" w:rsidRDefault="00000000">
      <w:r>
        <w:t>Rashodi za pristojbe i naknade bilježe porast od 45,2% radi naknada prema Osnivaču- Gradu, naknade prema HRT-u i naknade javnom bilježniku za ovjeru imenovanja ravnateljice.</w:t>
      </w:r>
    </w:p>
    <w:p w14:paraId="65D14B4A" w14:textId="77777777" w:rsidR="00191307" w:rsidRDefault="00191307"/>
    <w:p w14:paraId="29424753" w14:textId="77777777" w:rsidR="00191307"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91307" w14:paraId="6AF73EA1" w14:textId="77777777">
        <w:trPr>
          <w:cantSplit/>
        </w:trPr>
        <w:tc>
          <w:tcPr>
            <w:tcW w:w="700" w:type="dxa"/>
            <w:shd w:val="clear" w:color="auto" w:fill="E7F0F9"/>
            <w:tcMar>
              <w:top w:w="0" w:type="dxa"/>
              <w:bottom w:w="0" w:type="dxa"/>
            </w:tcMar>
            <w:vAlign w:val="center"/>
          </w:tcPr>
          <w:p w14:paraId="6EB71524" w14:textId="77777777" w:rsidR="0019130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B2E5B1" w14:textId="77777777" w:rsidR="001913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226215" w14:textId="77777777" w:rsidR="001913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19B4F8" w14:textId="77777777" w:rsidR="0019130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405E45" w14:textId="77777777" w:rsidR="0019130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6D3E2E" w14:textId="77777777" w:rsidR="00191307" w:rsidRDefault="00000000">
            <w:pPr>
              <w:keepNext/>
              <w:keepLines/>
              <w:spacing w:after="0" w:line="240" w:lineRule="auto"/>
              <w:jc w:val="center"/>
            </w:pPr>
            <w:r>
              <w:rPr>
                <w:b/>
                <w:sz w:val="18"/>
              </w:rPr>
              <w:t>Indeks (%)</w:t>
            </w:r>
          </w:p>
        </w:tc>
      </w:tr>
      <w:tr w:rsidR="00191307" w14:paraId="687035F4" w14:textId="77777777">
        <w:trPr>
          <w:cantSplit/>
          <w:trHeight w:val="560"/>
        </w:trPr>
        <w:tc>
          <w:tcPr>
            <w:tcW w:w="700" w:type="dxa"/>
            <w:tcMar>
              <w:top w:w="0" w:type="dxa"/>
              <w:bottom w:w="0" w:type="dxa"/>
            </w:tcMar>
            <w:vAlign w:val="center"/>
          </w:tcPr>
          <w:p w14:paraId="2A2A911D" w14:textId="77777777" w:rsidR="00191307" w:rsidRDefault="00000000">
            <w:pPr>
              <w:keepNext/>
              <w:keepLines/>
              <w:spacing w:after="0" w:line="240" w:lineRule="auto"/>
            </w:pPr>
            <w:r>
              <w:rPr>
                <w:sz w:val="18"/>
              </w:rPr>
              <w:t>4221</w:t>
            </w:r>
          </w:p>
        </w:tc>
        <w:tc>
          <w:tcPr>
            <w:tcW w:w="3180" w:type="dxa"/>
            <w:tcMar>
              <w:top w:w="0" w:type="dxa"/>
              <w:bottom w:w="0" w:type="dxa"/>
            </w:tcMar>
            <w:vAlign w:val="center"/>
          </w:tcPr>
          <w:p w14:paraId="3E0DCB4B" w14:textId="77777777" w:rsidR="00191307"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323CDA35" w14:textId="77777777" w:rsidR="00191307" w:rsidRDefault="00000000">
            <w:pPr>
              <w:keepNext/>
              <w:keepLines/>
              <w:spacing w:after="0" w:line="240" w:lineRule="auto"/>
            </w:pPr>
            <w:r>
              <w:rPr>
                <w:sz w:val="18"/>
              </w:rPr>
              <w:t>4221</w:t>
            </w:r>
          </w:p>
        </w:tc>
        <w:tc>
          <w:tcPr>
            <w:tcW w:w="1860" w:type="dxa"/>
            <w:tcMar>
              <w:top w:w="0" w:type="dxa"/>
              <w:bottom w:w="0" w:type="dxa"/>
            </w:tcMar>
            <w:vAlign w:val="center"/>
          </w:tcPr>
          <w:p w14:paraId="638BF48D" w14:textId="77777777" w:rsidR="00191307" w:rsidRDefault="00000000">
            <w:pPr>
              <w:keepNext/>
              <w:keepLines/>
              <w:spacing w:after="0" w:line="240" w:lineRule="auto"/>
              <w:jc w:val="right"/>
            </w:pPr>
            <w:r>
              <w:rPr>
                <w:sz w:val="18"/>
              </w:rPr>
              <w:t>0,00</w:t>
            </w:r>
          </w:p>
        </w:tc>
        <w:tc>
          <w:tcPr>
            <w:tcW w:w="1860" w:type="dxa"/>
            <w:tcMar>
              <w:top w:w="0" w:type="dxa"/>
              <w:bottom w:w="0" w:type="dxa"/>
            </w:tcMar>
            <w:vAlign w:val="center"/>
          </w:tcPr>
          <w:p w14:paraId="0B31A223" w14:textId="77777777" w:rsidR="00191307" w:rsidRDefault="00000000">
            <w:pPr>
              <w:keepNext/>
              <w:keepLines/>
              <w:spacing w:after="0" w:line="240" w:lineRule="auto"/>
              <w:jc w:val="right"/>
            </w:pPr>
            <w:r>
              <w:rPr>
                <w:sz w:val="18"/>
              </w:rPr>
              <w:t>5.917,94</w:t>
            </w:r>
          </w:p>
        </w:tc>
        <w:tc>
          <w:tcPr>
            <w:tcW w:w="700" w:type="dxa"/>
            <w:tcMar>
              <w:top w:w="0" w:type="dxa"/>
              <w:bottom w:w="0" w:type="dxa"/>
            </w:tcMar>
            <w:vAlign w:val="center"/>
          </w:tcPr>
          <w:p w14:paraId="0A25D530" w14:textId="77777777" w:rsidR="00191307" w:rsidRDefault="00000000">
            <w:pPr>
              <w:keepNext/>
              <w:keepLines/>
              <w:spacing w:after="0" w:line="240" w:lineRule="auto"/>
              <w:jc w:val="right"/>
            </w:pPr>
            <w:r>
              <w:rPr>
                <w:sz w:val="18"/>
              </w:rPr>
              <w:t>-</w:t>
            </w:r>
          </w:p>
        </w:tc>
      </w:tr>
    </w:tbl>
    <w:p w14:paraId="33D2AF3A" w14:textId="77777777" w:rsidR="00191307" w:rsidRDefault="00191307">
      <w:pPr>
        <w:spacing w:after="0"/>
      </w:pPr>
    </w:p>
    <w:p w14:paraId="349918E4" w14:textId="77777777" w:rsidR="00191307" w:rsidRDefault="00000000">
      <w:r>
        <w:t>Rashodi za uredsku opremu i namještaj su postojeći i veliki u odnosu na isto razdoblje prethodne godine a odnose se na nabavu namještaja za aktivnost Poludnevnog boravka, te za nabavu dvaju monitora i laptopa za administrativno osoblje. Prema planiranome nabavljene su dvije pametne ploče i četiri tableta.</w:t>
      </w:r>
    </w:p>
    <w:p w14:paraId="705CADFB" w14:textId="77777777" w:rsidR="00191307" w:rsidRDefault="00191307"/>
    <w:p w14:paraId="2E8B5724" w14:textId="77777777" w:rsidR="00191307"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91307" w14:paraId="7656941A" w14:textId="77777777">
        <w:trPr>
          <w:cantSplit/>
        </w:trPr>
        <w:tc>
          <w:tcPr>
            <w:tcW w:w="700" w:type="dxa"/>
            <w:shd w:val="clear" w:color="auto" w:fill="E7F0F9"/>
            <w:tcMar>
              <w:top w:w="0" w:type="dxa"/>
              <w:bottom w:w="0" w:type="dxa"/>
            </w:tcMar>
            <w:vAlign w:val="center"/>
          </w:tcPr>
          <w:p w14:paraId="329ADBB7" w14:textId="77777777" w:rsidR="0019130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EBDAF0" w14:textId="77777777" w:rsidR="001913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3B12C2" w14:textId="77777777" w:rsidR="001913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4B9A22" w14:textId="77777777" w:rsidR="0019130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64D548" w14:textId="77777777" w:rsidR="0019130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56F735" w14:textId="77777777" w:rsidR="00191307" w:rsidRDefault="00000000">
            <w:pPr>
              <w:keepNext/>
              <w:keepLines/>
              <w:spacing w:after="0" w:line="240" w:lineRule="auto"/>
              <w:jc w:val="center"/>
            </w:pPr>
            <w:r>
              <w:rPr>
                <w:b/>
                <w:sz w:val="18"/>
              </w:rPr>
              <w:t>Indeks (%)</w:t>
            </w:r>
          </w:p>
        </w:tc>
      </w:tr>
      <w:tr w:rsidR="00191307" w14:paraId="400E8094" w14:textId="77777777">
        <w:trPr>
          <w:cantSplit/>
          <w:trHeight w:val="560"/>
        </w:trPr>
        <w:tc>
          <w:tcPr>
            <w:tcW w:w="700" w:type="dxa"/>
            <w:tcMar>
              <w:top w:w="0" w:type="dxa"/>
              <w:bottom w:w="0" w:type="dxa"/>
            </w:tcMar>
            <w:vAlign w:val="center"/>
          </w:tcPr>
          <w:p w14:paraId="727CA05B" w14:textId="77777777" w:rsidR="00191307" w:rsidRDefault="00000000">
            <w:pPr>
              <w:keepNext/>
              <w:keepLines/>
              <w:spacing w:after="0" w:line="240" w:lineRule="auto"/>
            </w:pPr>
            <w:r>
              <w:rPr>
                <w:sz w:val="18"/>
              </w:rPr>
              <w:t>4226</w:t>
            </w:r>
          </w:p>
        </w:tc>
        <w:tc>
          <w:tcPr>
            <w:tcW w:w="3180" w:type="dxa"/>
            <w:tcMar>
              <w:top w:w="0" w:type="dxa"/>
              <w:bottom w:w="0" w:type="dxa"/>
            </w:tcMar>
            <w:vAlign w:val="center"/>
          </w:tcPr>
          <w:p w14:paraId="3220A717" w14:textId="77777777" w:rsidR="00191307" w:rsidRDefault="00000000">
            <w:pPr>
              <w:keepNext/>
              <w:keepLines/>
              <w:spacing w:after="0" w:line="240" w:lineRule="auto"/>
            </w:pPr>
            <w:r>
              <w:rPr>
                <w:sz w:val="18"/>
              </w:rPr>
              <w:t>Sportska i glazbena oprema</w:t>
            </w:r>
          </w:p>
        </w:tc>
        <w:tc>
          <w:tcPr>
            <w:tcW w:w="700" w:type="dxa"/>
            <w:tcMar>
              <w:top w:w="0" w:type="dxa"/>
              <w:bottom w:w="0" w:type="dxa"/>
            </w:tcMar>
            <w:vAlign w:val="center"/>
          </w:tcPr>
          <w:p w14:paraId="29B6E3B7" w14:textId="77777777" w:rsidR="00191307" w:rsidRDefault="00000000">
            <w:pPr>
              <w:keepNext/>
              <w:keepLines/>
              <w:spacing w:after="0" w:line="240" w:lineRule="auto"/>
            </w:pPr>
            <w:r>
              <w:rPr>
                <w:sz w:val="18"/>
              </w:rPr>
              <w:t>4226</w:t>
            </w:r>
          </w:p>
        </w:tc>
        <w:tc>
          <w:tcPr>
            <w:tcW w:w="1860" w:type="dxa"/>
            <w:tcMar>
              <w:top w:w="0" w:type="dxa"/>
              <w:bottom w:w="0" w:type="dxa"/>
            </w:tcMar>
            <w:vAlign w:val="center"/>
          </w:tcPr>
          <w:p w14:paraId="684AAC75" w14:textId="77777777" w:rsidR="00191307" w:rsidRDefault="00000000">
            <w:pPr>
              <w:keepNext/>
              <w:keepLines/>
              <w:spacing w:after="0" w:line="240" w:lineRule="auto"/>
              <w:jc w:val="right"/>
            </w:pPr>
            <w:r>
              <w:rPr>
                <w:sz w:val="18"/>
              </w:rPr>
              <w:t>0,00</w:t>
            </w:r>
          </w:p>
        </w:tc>
        <w:tc>
          <w:tcPr>
            <w:tcW w:w="1860" w:type="dxa"/>
            <w:tcMar>
              <w:top w:w="0" w:type="dxa"/>
              <w:bottom w:w="0" w:type="dxa"/>
            </w:tcMar>
            <w:vAlign w:val="center"/>
          </w:tcPr>
          <w:p w14:paraId="13C70190" w14:textId="77777777" w:rsidR="00191307" w:rsidRDefault="00000000">
            <w:pPr>
              <w:keepNext/>
              <w:keepLines/>
              <w:spacing w:after="0" w:line="240" w:lineRule="auto"/>
              <w:jc w:val="right"/>
            </w:pPr>
            <w:r>
              <w:rPr>
                <w:sz w:val="18"/>
              </w:rPr>
              <w:t>2.912,13</w:t>
            </w:r>
          </w:p>
        </w:tc>
        <w:tc>
          <w:tcPr>
            <w:tcW w:w="700" w:type="dxa"/>
            <w:tcMar>
              <w:top w:w="0" w:type="dxa"/>
              <w:bottom w:w="0" w:type="dxa"/>
            </w:tcMar>
            <w:vAlign w:val="center"/>
          </w:tcPr>
          <w:p w14:paraId="5493AADB" w14:textId="77777777" w:rsidR="00191307" w:rsidRDefault="00000000">
            <w:pPr>
              <w:keepNext/>
              <w:keepLines/>
              <w:spacing w:after="0" w:line="240" w:lineRule="auto"/>
              <w:jc w:val="right"/>
            </w:pPr>
            <w:r>
              <w:rPr>
                <w:sz w:val="18"/>
              </w:rPr>
              <w:t>-</w:t>
            </w:r>
          </w:p>
        </w:tc>
      </w:tr>
    </w:tbl>
    <w:p w14:paraId="0767929F" w14:textId="77777777" w:rsidR="00191307" w:rsidRDefault="00191307">
      <w:pPr>
        <w:spacing w:after="0"/>
      </w:pPr>
    </w:p>
    <w:p w14:paraId="2B70A3F9" w14:textId="77777777" w:rsidR="00191307" w:rsidRDefault="00000000">
      <w:r>
        <w:t>Rashodi za sportsku i glazbenu opremu bilježe rast radi nabave strunjača za sportsku dvoranu, zbog već dotrajalih starih strunjača i nabave akustične gitare za korištenje u nastavi.</w:t>
      </w:r>
    </w:p>
    <w:p w14:paraId="1B4F4281" w14:textId="77777777" w:rsidR="00191307" w:rsidRDefault="00191307"/>
    <w:p w14:paraId="4AB7076F" w14:textId="77777777" w:rsidR="00191307"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91307" w14:paraId="7F56264F" w14:textId="77777777">
        <w:trPr>
          <w:cantSplit/>
        </w:trPr>
        <w:tc>
          <w:tcPr>
            <w:tcW w:w="700" w:type="dxa"/>
            <w:shd w:val="clear" w:color="auto" w:fill="E7F0F9"/>
            <w:tcMar>
              <w:top w:w="0" w:type="dxa"/>
              <w:bottom w:w="0" w:type="dxa"/>
            </w:tcMar>
            <w:vAlign w:val="center"/>
          </w:tcPr>
          <w:p w14:paraId="6AA50C7B" w14:textId="77777777" w:rsidR="0019130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DCBEBF" w14:textId="77777777" w:rsidR="001913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8E8D17" w14:textId="77777777" w:rsidR="001913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C76DD2" w14:textId="77777777" w:rsidR="0019130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CCC92F" w14:textId="77777777" w:rsidR="0019130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4EFD3E" w14:textId="77777777" w:rsidR="00191307" w:rsidRDefault="00000000">
            <w:pPr>
              <w:keepNext/>
              <w:keepLines/>
              <w:spacing w:after="0" w:line="240" w:lineRule="auto"/>
              <w:jc w:val="center"/>
            </w:pPr>
            <w:r>
              <w:rPr>
                <w:b/>
                <w:sz w:val="18"/>
              </w:rPr>
              <w:t>Indeks (%)</w:t>
            </w:r>
          </w:p>
        </w:tc>
      </w:tr>
      <w:tr w:rsidR="00191307" w14:paraId="59692B55" w14:textId="77777777">
        <w:trPr>
          <w:cantSplit/>
          <w:trHeight w:val="560"/>
        </w:trPr>
        <w:tc>
          <w:tcPr>
            <w:tcW w:w="700" w:type="dxa"/>
            <w:tcMar>
              <w:top w:w="0" w:type="dxa"/>
              <w:bottom w:w="0" w:type="dxa"/>
            </w:tcMar>
            <w:vAlign w:val="center"/>
          </w:tcPr>
          <w:p w14:paraId="2708AF65" w14:textId="77777777" w:rsidR="00191307" w:rsidRDefault="00000000">
            <w:pPr>
              <w:keepNext/>
              <w:keepLines/>
              <w:spacing w:after="0" w:line="240" w:lineRule="auto"/>
            </w:pPr>
            <w:r>
              <w:rPr>
                <w:sz w:val="18"/>
              </w:rPr>
              <w:t>31215</w:t>
            </w:r>
          </w:p>
        </w:tc>
        <w:tc>
          <w:tcPr>
            <w:tcW w:w="3180" w:type="dxa"/>
            <w:tcMar>
              <w:top w:w="0" w:type="dxa"/>
              <w:bottom w:w="0" w:type="dxa"/>
            </w:tcMar>
            <w:vAlign w:val="center"/>
          </w:tcPr>
          <w:p w14:paraId="133D7190" w14:textId="77777777" w:rsidR="00191307" w:rsidRDefault="00000000">
            <w:pPr>
              <w:keepNext/>
              <w:keepLines/>
              <w:spacing w:after="0" w:line="240" w:lineRule="auto"/>
            </w:pPr>
            <w:r>
              <w:rPr>
                <w:sz w:val="18"/>
              </w:rPr>
              <w:t>Naknade za bolest, invalidnost i smrtni slučaj</w:t>
            </w:r>
          </w:p>
        </w:tc>
        <w:tc>
          <w:tcPr>
            <w:tcW w:w="700" w:type="dxa"/>
            <w:tcMar>
              <w:top w:w="0" w:type="dxa"/>
              <w:bottom w:w="0" w:type="dxa"/>
            </w:tcMar>
            <w:vAlign w:val="center"/>
          </w:tcPr>
          <w:p w14:paraId="373A59CF" w14:textId="77777777" w:rsidR="00191307" w:rsidRDefault="00000000">
            <w:pPr>
              <w:keepNext/>
              <w:keepLines/>
              <w:spacing w:after="0" w:line="240" w:lineRule="auto"/>
            </w:pPr>
            <w:r>
              <w:rPr>
                <w:sz w:val="18"/>
              </w:rPr>
              <w:t>31215</w:t>
            </w:r>
          </w:p>
        </w:tc>
        <w:tc>
          <w:tcPr>
            <w:tcW w:w="1860" w:type="dxa"/>
            <w:tcMar>
              <w:top w:w="0" w:type="dxa"/>
              <w:bottom w:w="0" w:type="dxa"/>
            </w:tcMar>
            <w:vAlign w:val="center"/>
          </w:tcPr>
          <w:p w14:paraId="54943264" w14:textId="77777777" w:rsidR="00191307" w:rsidRDefault="00000000">
            <w:pPr>
              <w:keepNext/>
              <w:keepLines/>
              <w:spacing w:after="0" w:line="240" w:lineRule="auto"/>
              <w:jc w:val="right"/>
            </w:pPr>
            <w:r>
              <w:rPr>
                <w:sz w:val="18"/>
              </w:rPr>
              <w:t>441,44</w:t>
            </w:r>
          </w:p>
        </w:tc>
        <w:tc>
          <w:tcPr>
            <w:tcW w:w="1860" w:type="dxa"/>
            <w:tcMar>
              <w:top w:w="0" w:type="dxa"/>
              <w:bottom w:w="0" w:type="dxa"/>
            </w:tcMar>
            <w:vAlign w:val="center"/>
          </w:tcPr>
          <w:p w14:paraId="545DF826" w14:textId="77777777" w:rsidR="00191307" w:rsidRDefault="00000000">
            <w:pPr>
              <w:keepNext/>
              <w:keepLines/>
              <w:spacing w:after="0" w:line="240" w:lineRule="auto"/>
              <w:jc w:val="right"/>
            </w:pPr>
            <w:r>
              <w:rPr>
                <w:sz w:val="18"/>
              </w:rPr>
              <w:t>1.324,32</w:t>
            </w:r>
          </w:p>
        </w:tc>
        <w:tc>
          <w:tcPr>
            <w:tcW w:w="700" w:type="dxa"/>
            <w:tcMar>
              <w:top w:w="0" w:type="dxa"/>
              <w:bottom w:w="0" w:type="dxa"/>
            </w:tcMar>
            <w:vAlign w:val="center"/>
          </w:tcPr>
          <w:p w14:paraId="3405B122" w14:textId="77777777" w:rsidR="00191307" w:rsidRDefault="00000000">
            <w:pPr>
              <w:keepNext/>
              <w:keepLines/>
              <w:spacing w:after="0" w:line="240" w:lineRule="auto"/>
              <w:jc w:val="right"/>
            </w:pPr>
            <w:r>
              <w:rPr>
                <w:sz w:val="18"/>
              </w:rPr>
              <w:t>300</w:t>
            </w:r>
          </w:p>
        </w:tc>
      </w:tr>
    </w:tbl>
    <w:p w14:paraId="32B04EBF" w14:textId="77777777" w:rsidR="00191307" w:rsidRDefault="00191307">
      <w:pPr>
        <w:spacing w:after="0"/>
      </w:pPr>
    </w:p>
    <w:p w14:paraId="30C9BA52" w14:textId="77777777" w:rsidR="00191307" w:rsidRDefault="00000000">
      <w:r>
        <w:t xml:space="preserve">Rashodi za naknade za bolest, </w:t>
      </w:r>
      <w:proofErr w:type="spellStart"/>
      <w:r>
        <w:t>inavlidnost</w:t>
      </w:r>
      <w:proofErr w:type="spellEnd"/>
      <w:r>
        <w:t xml:space="preserve"> i smrtni slučaj bilježe porast radi isplate zaposlenicima naknade na dugotrajnom bolovanju.</w:t>
      </w:r>
    </w:p>
    <w:p w14:paraId="45FDB9D3" w14:textId="77777777" w:rsidR="00191307" w:rsidRDefault="00191307"/>
    <w:p w14:paraId="31CEABEB" w14:textId="77777777" w:rsidR="00191307" w:rsidRDefault="00000000">
      <w:pPr>
        <w:keepNext/>
        <w:spacing w:line="240" w:lineRule="auto"/>
        <w:jc w:val="center"/>
      </w:pPr>
      <w:r>
        <w:rPr>
          <w:sz w:val="28"/>
        </w:rPr>
        <w:t>Bilješka 18.</w:t>
      </w:r>
    </w:p>
    <w:p w14:paraId="60A62F29" w14:textId="77777777" w:rsidR="00191307" w:rsidRDefault="00000000">
      <w:pPr>
        <w:spacing w:line="240" w:lineRule="auto"/>
        <w:jc w:val="both"/>
      </w:pPr>
      <w:r>
        <w:rPr>
          <w:b/>
        </w:rPr>
        <w:t>EU izvještaj</w:t>
      </w:r>
    </w:p>
    <w:p w14:paraId="626C1B19" w14:textId="77777777" w:rsidR="00191307" w:rsidRDefault="00000000">
      <w:r>
        <w:t>U razdoblju od 01. siječnja do 31. ožujka 2026. godine prihodi poslovanja za Nacionalno sufinanciranje ostvareni su u iznosu od 6.378,37 EUR, što bilježi povećanje u odnosu na isto razdoblje prethodne godine. Taj iznos obuhvaćaju prihodi za pomoćnike u nastavi i prihodi za Shemu voća.</w:t>
      </w:r>
    </w:p>
    <w:p w14:paraId="68587ACD" w14:textId="77777777" w:rsidR="00191307" w:rsidRDefault="00000000">
      <w:r>
        <w:t>Rashodi iznose 6.461,72 EUR  što ne bilježi povećanje u odnosu na isto razdoblje prethodne godine. Rashodi za plaće ne bilježe porast, dok rashodi za Shemu voće bilježe iznos od 407,64 EUR, što je blago povećanje, dok su prihodi za Shemu ostvareni u iznosu od 378,43 EUR.</w:t>
      </w:r>
    </w:p>
    <w:p w14:paraId="256BF9D1" w14:textId="77777777" w:rsidR="00191307" w:rsidRDefault="00000000">
      <w:r>
        <w:t>U razdoblju od 01. siječnja do 31. ožujka 2026. godine prihodi poslovanja za pomoćnike u nastavi sufinancirani od Europskog Socijalnog Fonda iznose 33.998,40 EUR te tako bilježe rast u odnosu na isto razdoblje prethodne godine, dok rashodi bilježe ostvarenje u iznosu od 34.389,97 EUR, razlog je porast broja pomoćnika i povećanja cijene radnog sata.</w:t>
      </w:r>
    </w:p>
    <w:p w14:paraId="3A5B9D9E" w14:textId="77777777" w:rsidR="00191307" w:rsidRDefault="00191307"/>
    <w:sectPr w:rsidR="001913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307"/>
    <w:rsid w:val="00191307"/>
    <w:rsid w:val="004F65BA"/>
    <w:rsid w:val="00A27FF4"/>
    <w:rsid w:val="00CF5432"/>
    <w:rsid w:val="00EF1B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E155D"/>
  <w15:docId w15:val="{C80809E8-114D-4AC8-8AC0-C35122AFC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1512</Words>
  <Characters>8620</Characters>
  <Application>Microsoft Office Word</Application>
  <DocSecurity>0</DocSecurity>
  <Lines>71</Lines>
  <Paragraphs>20</Paragraphs>
  <ScaleCrop>false</ScaleCrop>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2026-04-22T07:04:00Z</dcterms:created>
  <dcterms:modified xsi:type="dcterms:W3CDTF">2026-04-22T07:04:00Z</dcterms:modified>
</cp:coreProperties>
</file>